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5D6E" w14:textId="77777777" w:rsidR="001C40C0" w:rsidRPr="001B31A2" w:rsidRDefault="00CF3476" w:rsidP="001B31A2">
      <w:pPr>
        <w:spacing w:line="360" w:lineRule="auto"/>
        <w:jc w:val="center"/>
        <w:rPr>
          <w:rFonts w:ascii="Arial" w:hAnsi="Arial" w:cs="Arial"/>
          <w:b/>
          <w:sz w:val="28"/>
          <w:szCs w:val="28"/>
        </w:rPr>
      </w:pPr>
      <w:bookmarkStart w:id="0" w:name="_GoBack"/>
      <w:bookmarkEnd w:id="0"/>
      <w:r w:rsidRPr="001B31A2">
        <w:rPr>
          <w:rFonts w:ascii="Arial" w:hAnsi="Arial" w:cs="Arial"/>
          <w:b/>
          <w:sz w:val="28"/>
          <w:szCs w:val="28"/>
        </w:rPr>
        <w:t>Die Handlungsmöglichkeiten der Politik bei Krise, Sanierung, Insolvenz von Unternehmen und ihre Grenzen</w:t>
      </w:r>
    </w:p>
    <w:p w14:paraId="666434C0" w14:textId="77777777" w:rsidR="00CF3476" w:rsidRPr="001B31A2" w:rsidRDefault="00CF3476" w:rsidP="001B31A2">
      <w:pPr>
        <w:spacing w:line="360" w:lineRule="auto"/>
        <w:jc w:val="center"/>
        <w:rPr>
          <w:rFonts w:ascii="Arial" w:hAnsi="Arial" w:cs="Arial"/>
          <w:b/>
          <w:sz w:val="28"/>
          <w:szCs w:val="28"/>
        </w:rPr>
      </w:pPr>
    </w:p>
    <w:p w14:paraId="2D48AA41" w14:textId="77777777" w:rsidR="00CF3476" w:rsidRPr="001B31A2" w:rsidRDefault="00CF3476" w:rsidP="001B31A2">
      <w:pPr>
        <w:spacing w:line="360" w:lineRule="auto"/>
        <w:jc w:val="center"/>
        <w:rPr>
          <w:rFonts w:ascii="Arial" w:hAnsi="Arial" w:cs="Arial"/>
          <w:sz w:val="28"/>
          <w:szCs w:val="28"/>
        </w:rPr>
      </w:pPr>
      <w:r w:rsidRPr="001B31A2">
        <w:rPr>
          <w:rFonts w:ascii="Arial" w:hAnsi="Arial" w:cs="Arial"/>
          <w:sz w:val="28"/>
          <w:szCs w:val="28"/>
        </w:rPr>
        <w:t xml:space="preserve">Kurzvortrag </w:t>
      </w:r>
    </w:p>
    <w:p w14:paraId="57B846CB" w14:textId="1F51E025" w:rsidR="00CF3476" w:rsidRPr="001B31A2" w:rsidRDefault="00EE4ACA" w:rsidP="001B31A2">
      <w:pPr>
        <w:spacing w:line="360" w:lineRule="auto"/>
        <w:jc w:val="center"/>
        <w:rPr>
          <w:rFonts w:ascii="Arial" w:hAnsi="Arial" w:cs="Arial"/>
          <w:sz w:val="28"/>
          <w:szCs w:val="28"/>
        </w:rPr>
      </w:pPr>
      <w:r w:rsidRPr="001B31A2">
        <w:rPr>
          <w:rFonts w:ascii="Arial" w:hAnsi="Arial" w:cs="Arial"/>
          <w:sz w:val="28"/>
          <w:szCs w:val="28"/>
        </w:rPr>
        <w:t>von Rechtsanwalt Martin Zeil,</w:t>
      </w:r>
      <w:r w:rsidR="00CF3476" w:rsidRPr="001B31A2">
        <w:rPr>
          <w:rFonts w:ascii="Arial" w:hAnsi="Arial" w:cs="Arial"/>
          <w:sz w:val="28"/>
          <w:szCs w:val="28"/>
        </w:rPr>
        <w:t xml:space="preserve"> Staatsminister a.D., SLB Kloepper Rechtsanwälte, München</w:t>
      </w:r>
    </w:p>
    <w:p w14:paraId="5380C904" w14:textId="77777777" w:rsidR="00CF3476" w:rsidRPr="001B31A2" w:rsidRDefault="00CF3476" w:rsidP="001B31A2">
      <w:pPr>
        <w:spacing w:line="360" w:lineRule="auto"/>
        <w:rPr>
          <w:rFonts w:ascii="Arial" w:hAnsi="Arial" w:cs="Arial"/>
          <w:sz w:val="28"/>
          <w:szCs w:val="28"/>
        </w:rPr>
      </w:pPr>
    </w:p>
    <w:p w14:paraId="0EAC6E2E" w14:textId="77777777" w:rsidR="00CF3476" w:rsidRPr="001B31A2" w:rsidRDefault="00CF3476" w:rsidP="001B31A2">
      <w:pPr>
        <w:spacing w:line="360" w:lineRule="auto"/>
        <w:rPr>
          <w:rFonts w:ascii="Arial" w:hAnsi="Arial" w:cs="Arial"/>
          <w:sz w:val="28"/>
          <w:szCs w:val="28"/>
        </w:rPr>
      </w:pPr>
    </w:p>
    <w:p w14:paraId="080B9861" w14:textId="24626B46" w:rsidR="00CF3476" w:rsidRPr="00A30857" w:rsidRDefault="00B3717D" w:rsidP="001B31A2">
      <w:pPr>
        <w:spacing w:line="360" w:lineRule="auto"/>
        <w:jc w:val="center"/>
        <w:rPr>
          <w:rFonts w:ascii="Arial" w:hAnsi="Arial" w:cs="Arial"/>
          <w:b/>
          <w:sz w:val="28"/>
          <w:szCs w:val="28"/>
          <w:u w:val="single"/>
        </w:rPr>
      </w:pPr>
      <w:r w:rsidRPr="00A30857">
        <w:rPr>
          <w:rFonts w:ascii="Arial" w:hAnsi="Arial" w:cs="Arial"/>
          <w:b/>
          <w:sz w:val="28"/>
          <w:szCs w:val="28"/>
          <w:u w:val="single"/>
        </w:rPr>
        <w:t>A</w:t>
      </w:r>
      <w:r w:rsidRPr="00A30857">
        <w:rPr>
          <w:rFonts w:ascii="Arial" w:hAnsi="Arial" w:cs="Arial"/>
          <w:sz w:val="28"/>
          <w:szCs w:val="28"/>
          <w:u w:val="single"/>
        </w:rPr>
        <w:t xml:space="preserve">. </w:t>
      </w:r>
      <w:r w:rsidR="00CF3476" w:rsidRPr="00A30857">
        <w:rPr>
          <w:rFonts w:ascii="Arial" w:hAnsi="Arial" w:cs="Arial"/>
          <w:b/>
          <w:sz w:val="28"/>
          <w:szCs w:val="28"/>
          <w:u w:val="single"/>
        </w:rPr>
        <w:t>Vorbemerkungen</w:t>
      </w:r>
    </w:p>
    <w:p w14:paraId="3FE18785" w14:textId="77777777" w:rsidR="00CF3476" w:rsidRPr="001B31A2" w:rsidRDefault="00CF3476" w:rsidP="001B31A2">
      <w:pPr>
        <w:spacing w:line="360" w:lineRule="auto"/>
        <w:rPr>
          <w:rFonts w:ascii="Arial" w:hAnsi="Arial" w:cs="Arial"/>
          <w:sz w:val="28"/>
          <w:szCs w:val="28"/>
        </w:rPr>
      </w:pPr>
    </w:p>
    <w:p w14:paraId="4A18E1B1" w14:textId="1E94A2CC" w:rsidR="00CF3476" w:rsidRPr="001B31A2" w:rsidRDefault="00CF3476" w:rsidP="001B31A2">
      <w:pPr>
        <w:spacing w:line="360" w:lineRule="auto"/>
        <w:jc w:val="both"/>
        <w:rPr>
          <w:rFonts w:ascii="Arial" w:hAnsi="Arial" w:cs="Arial"/>
          <w:sz w:val="28"/>
          <w:szCs w:val="28"/>
        </w:rPr>
      </w:pPr>
      <w:r w:rsidRPr="001B31A2">
        <w:rPr>
          <w:rFonts w:ascii="Arial" w:hAnsi="Arial" w:cs="Arial"/>
          <w:sz w:val="28"/>
          <w:szCs w:val="28"/>
        </w:rPr>
        <w:t xml:space="preserve">In Deutschland richtet sich das Rollenverständnis zwischen Staat und Wirtschaft grundsätzlich immer noch nach den Grundsätzen der Sozialen Marktwirtschaft mit dem Leitprinzip: „Soviel Markt wie möglich und soviel Staat wie nötig.“ Dies galt und gilt gerade auch hinsichtlich der Frage, ob und gegebenenfalls was die Politik in der Krise von Unternehmen tun soll und tun darf. In der weltweiten Finanz- und Wirtschaftskrise vor mehr als 10 Jahren – </w:t>
      </w:r>
      <w:r w:rsidR="00813AE2" w:rsidRPr="001B31A2">
        <w:rPr>
          <w:rFonts w:ascii="Arial" w:hAnsi="Arial" w:cs="Arial"/>
          <w:sz w:val="28"/>
          <w:szCs w:val="28"/>
        </w:rPr>
        <w:t xml:space="preserve">unter anderem </w:t>
      </w:r>
      <w:r w:rsidRPr="001B31A2">
        <w:rPr>
          <w:rFonts w:ascii="Arial" w:hAnsi="Arial" w:cs="Arial"/>
          <w:sz w:val="28"/>
          <w:szCs w:val="28"/>
        </w:rPr>
        <w:t>ausgelöst durch die Insolvenz der Bank Lehman Brothers</w:t>
      </w:r>
      <w:r w:rsidR="00096344">
        <w:rPr>
          <w:rFonts w:ascii="Arial" w:hAnsi="Arial" w:cs="Arial"/>
          <w:sz w:val="28"/>
          <w:szCs w:val="28"/>
        </w:rPr>
        <w:t xml:space="preserve"> vor ziemlich genau 11 Jahren </w:t>
      </w:r>
      <w:r w:rsidR="00813AE2" w:rsidRPr="001B31A2">
        <w:rPr>
          <w:rFonts w:ascii="Arial" w:hAnsi="Arial" w:cs="Arial"/>
          <w:sz w:val="28"/>
          <w:szCs w:val="28"/>
        </w:rPr>
        <w:t xml:space="preserve">(15.09.2008) – und der folgenden Schuldenkrise in der EURO-Zone wurde diese Leitlinie in Deutschland und auch auf europäischer Ebene in vielfältiger Weise aufgehoben. Bankenschirme, </w:t>
      </w:r>
      <w:r w:rsidR="000928EF" w:rsidRPr="001B31A2">
        <w:rPr>
          <w:rFonts w:ascii="Arial" w:hAnsi="Arial" w:cs="Arial"/>
          <w:sz w:val="28"/>
          <w:szCs w:val="28"/>
        </w:rPr>
        <w:t>die verschiedenen Phasen der EURO-Rettungsschirme und das un</w:t>
      </w:r>
      <w:r w:rsidR="00173E45">
        <w:rPr>
          <w:rFonts w:ascii="Arial" w:hAnsi="Arial" w:cs="Arial"/>
          <w:sz w:val="28"/>
          <w:szCs w:val="28"/>
        </w:rPr>
        <w:t>ter dem Namen „Wirtschaftsfonds</w:t>
      </w:r>
      <w:r w:rsidR="000928EF" w:rsidRPr="001B31A2">
        <w:rPr>
          <w:rFonts w:ascii="Arial" w:hAnsi="Arial" w:cs="Arial"/>
          <w:sz w:val="28"/>
          <w:szCs w:val="28"/>
        </w:rPr>
        <w:t xml:space="preserve"> – Deutschland</w:t>
      </w:r>
      <w:r w:rsidR="00173E45">
        <w:rPr>
          <w:rFonts w:ascii="Arial" w:hAnsi="Arial" w:cs="Arial"/>
          <w:sz w:val="28"/>
          <w:szCs w:val="28"/>
        </w:rPr>
        <w:t>“</w:t>
      </w:r>
      <w:r w:rsidR="000928EF" w:rsidRPr="001B31A2">
        <w:rPr>
          <w:rFonts w:ascii="Arial" w:hAnsi="Arial" w:cs="Arial"/>
          <w:sz w:val="28"/>
          <w:szCs w:val="28"/>
        </w:rPr>
        <w:t xml:space="preserve"> bekannt</w:t>
      </w:r>
      <w:r w:rsidR="00173E45">
        <w:rPr>
          <w:rFonts w:ascii="Arial" w:hAnsi="Arial" w:cs="Arial"/>
          <w:sz w:val="28"/>
          <w:szCs w:val="28"/>
        </w:rPr>
        <w:t xml:space="preserve"> </w:t>
      </w:r>
      <w:r w:rsidR="000928EF" w:rsidRPr="001B31A2">
        <w:rPr>
          <w:rFonts w:ascii="Arial" w:hAnsi="Arial" w:cs="Arial"/>
          <w:sz w:val="28"/>
          <w:szCs w:val="28"/>
        </w:rPr>
        <w:t xml:space="preserve">gewordene Kredit- und Bürgschaftsprogramm des Bundes von 2009 bis 2010 waren jeweils mit hohen dreistelligen bzw. vierstelligen Milliardenbeträgen ausgestattet, um Finanzinstitute und Unternehmen </w:t>
      </w:r>
      <w:r w:rsidR="00096344" w:rsidRPr="001B31A2">
        <w:rPr>
          <w:rFonts w:ascii="Arial" w:hAnsi="Arial" w:cs="Arial"/>
          <w:sz w:val="28"/>
          <w:szCs w:val="28"/>
        </w:rPr>
        <w:t xml:space="preserve">unmittelbar </w:t>
      </w:r>
      <w:r w:rsidR="000928EF" w:rsidRPr="001B31A2">
        <w:rPr>
          <w:rFonts w:ascii="Arial" w:hAnsi="Arial" w:cs="Arial"/>
          <w:sz w:val="28"/>
          <w:szCs w:val="28"/>
        </w:rPr>
        <w:t>mit öffentlichen Mitteln zu stützen, um Finanzengpässe oder Insolvenz</w:t>
      </w:r>
      <w:r w:rsidR="00096344">
        <w:rPr>
          <w:rFonts w:ascii="Arial" w:hAnsi="Arial" w:cs="Arial"/>
          <w:sz w:val="28"/>
          <w:szCs w:val="28"/>
        </w:rPr>
        <w:t>en</w:t>
      </w:r>
      <w:r w:rsidR="000928EF" w:rsidRPr="001B31A2">
        <w:rPr>
          <w:rFonts w:ascii="Arial" w:hAnsi="Arial" w:cs="Arial"/>
          <w:sz w:val="28"/>
          <w:szCs w:val="28"/>
        </w:rPr>
        <w:t xml:space="preserve"> abzuwenden. Es ist unbestritten, dass </w:t>
      </w:r>
      <w:r w:rsidR="00096344">
        <w:rPr>
          <w:rFonts w:ascii="Arial" w:hAnsi="Arial" w:cs="Arial"/>
          <w:sz w:val="28"/>
          <w:szCs w:val="28"/>
        </w:rPr>
        <w:t>eine Krise dieses Ausmaßes</w:t>
      </w:r>
      <w:r w:rsidR="000928EF" w:rsidRPr="001B31A2">
        <w:rPr>
          <w:rFonts w:ascii="Arial" w:hAnsi="Arial" w:cs="Arial"/>
          <w:sz w:val="28"/>
          <w:szCs w:val="28"/>
        </w:rPr>
        <w:t xml:space="preserve"> </w:t>
      </w:r>
      <w:r w:rsidR="002C5DB8" w:rsidRPr="001B31A2">
        <w:rPr>
          <w:rFonts w:ascii="Arial" w:hAnsi="Arial" w:cs="Arial"/>
          <w:sz w:val="28"/>
          <w:szCs w:val="28"/>
        </w:rPr>
        <w:t xml:space="preserve">ohne das Eingreifen und die Stützungsmaßnahmen des Staates völlig unkalkulierbar geworden </w:t>
      </w:r>
      <w:r w:rsidR="00096344">
        <w:rPr>
          <w:rFonts w:ascii="Arial" w:hAnsi="Arial" w:cs="Arial"/>
          <w:sz w:val="28"/>
          <w:szCs w:val="28"/>
        </w:rPr>
        <w:t xml:space="preserve">wäre </w:t>
      </w:r>
      <w:r w:rsidR="002C5DB8" w:rsidRPr="001B31A2">
        <w:rPr>
          <w:rFonts w:ascii="Arial" w:hAnsi="Arial" w:cs="Arial"/>
          <w:sz w:val="28"/>
          <w:szCs w:val="28"/>
        </w:rPr>
        <w:lastRenderedPageBreak/>
        <w:t>und höchstwahrscheinlich zum Zusammenbruch des Banken- und Wirtschaftssystems</w:t>
      </w:r>
      <w:r w:rsidR="00173E45">
        <w:rPr>
          <w:rFonts w:ascii="Arial" w:hAnsi="Arial" w:cs="Arial"/>
          <w:sz w:val="28"/>
          <w:szCs w:val="28"/>
        </w:rPr>
        <w:t xml:space="preserve"> mit unabsehbaren Folgen</w:t>
      </w:r>
      <w:r w:rsidR="002C5DB8" w:rsidRPr="001B31A2">
        <w:rPr>
          <w:rFonts w:ascii="Arial" w:hAnsi="Arial" w:cs="Arial"/>
          <w:sz w:val="28"/>
          <w:szCs w:val="28"/>
        </w:rPr>
        <w:t xml:space="preserve">, auf jeden Fall zum Vertrauensverlust der Bürger </w:t>
      </w:r>
      <w:r w:rsidR="00173E45">
        <w:rPr>
          <w:rFonts w:ascii="Arial" w:hAnsi="Arial" w:cs="Arial"/>
          <w:sz w:val="28"/>
          <w:szCs w:val="28"/>
        </w:rPr>
        <w:t xml:space="preserve">in die Handlungsfähigkeit des Staates </w:t>
      </w:r>
      <w:r w:rsidR="002C5DB8" w:rsidRPr="001B31A2">
        <w:rPr>
          <w:rFonts w:ascii="Arial" w:hAnsi="Arial" w:cs="Arial"/>
          <w:sz w:val="28"/>
          <w:szCs w:val="28"/>
        </w:rPr>
        <w:t xml:space="preserve">geführt hätte. </w:t>
      </w:r>
    </w:p>
    <w:p w14:paraId="37971E1D" w14:textId="77777777" w:rsidR="00CF3476" w:rsidRPr="001B31A2" w:rsidRDefault="00CF3476" w:rsidP="001B31A2">
      <w:pPr>
        <w:spacing w:line="360" w:lineRule="auto"/>
        <w:jc w:val="both"/>
        <w:rPr>
          <w:rFonts w:ascii="Arial" w:hAnsi="Arial" w:cs="Arial"/>
          <w:sz w:val="28"/>
          <w:szCs w:val="28"/>
        </w:rPr>
      </w:pPr>
    </w:p>
    <w:p w14:paraId="3B6B1E12" w14:textId="37E7C705" w:rsidR="00CF3476" w:rsidRPr="001B31A2" w:rsidRDefault="00C64285" w:rsidP="001B31A2">
      <w:pPr>
        <w:spacing w:line="360" w:lineRule="auto"/>
        <w:jc w:val="both"/>
        <w:rPr>
          <w:rFonts w:ascii="Arial" w:hAnsi="Arial" w:cs="Arial"/>
          <w:sz w:val="28"/>
          <w:szCs w:val="28"/>
        </w:rPr>
      </w:pPr>
      <w:r w:rsidRPr="001B31A2">
        <w:rPr>
          <w:rFonts w:ascii="Arial" w:hAnsi="Arial" w:cs="Arial"/>
          <w:sz w:val="28"/>
          <w:szCs w:val="28"/>
        </w:rPr>
        <w:t xml:space="preserve">Völlig unabhängig davon ist die Frage zu beurteilen, ob die einzelnen Maßnahmen, ihr Volumen und ihre Dauer (z.B. die Anleihekäufe der EZB, welche bis heute andauert) notwendig waren und ihren Zweck auch tatsächlich erfüllt haben. Daran sind in der Rückschau </w:t>
      </w:r>
      <w:r w:rsidR="00C17DF6" w:rsidRPr="001B31A2">
        <w:rPr>
          <w:rFonts w:ascii="Arial" w:hAnsi="Arial" w:cs="Arial"/>
          <w:sz w:val="28"/>
          <w:szCs w:val="28"/>
        </w:rPr>
        <w:t>in vielfältiger Weise Zweifel angebracht, dies gilt ebenso für Maßnahmen zur Rettung einzelner Unternehmen als auch für bestimmte Anreize wie die sogenann</w:t>
      </w:r>
      <w:r w:rsidR="00096344">
        <w:rPr>
          <w:rFonts w:ascii="Arial" w:hAnsi="Arial" w:cs="Arial"/>
          <w:sz w:val="28"/>
          <w:szCs w:val="28"/>
        </w:rPr>
        <w:t>te „Abwrackprämie“ im Rahmen der damaligen Konjunkturpakete</w:t>
      </w:r>
      <w:r w:rsidR="00C17DF6" w:rsidRPr="001B31A2">
        <w:rPr>
          <w:rFonts w:ascii="Arial" w:hAnsi="Arial" w:cs="Arial"/>
          <w:sz w:val="28"/>
          <w:szCs w:val="28"/>
        </w:rPr>
        <w:t>. Dies soll hier jedoch nur angedeutet werden, weil das eigentliche Thema meines Vortrags ein anderes ist.</w:t>
      </w:r>
    </w:p>
    <w:p w14:paraId="56160FF3" w14:textId="77777777" w:rsidR="00C17DF6" w:rsidRPr="001B31A2" w:rsidRDefault="00C17DF6" w:rsidP="001B31A2">
      <w:pPr>
        <w:spacing w:line="360" w:lineRule="auto"/>
        <w:jc w:val="both"/>
        <w:rPr>
          <w:rFonts w:ascii="Arial" w:hAnsi="Arial" w:cs="Arial"/>
          <w:sz w:val="28"/>
          <w:szCs w:val="28"/>
        </w:rPr>
      </w:pPr>
    </w:p>
    <w:p w14:paraId="0C79F8F2" w14:textId="4F6FE22E" w:rsidR="000F1C97" w:rsidRPr="001B31A2" w:rsidRDefault="00C17DF6" w:rsidP="001B31A2">
      <w:pPr>
        <w:spacing w:line="360" w:lineRule="auto"/>
        <w:jc w:val="both"/>
        <w:rPr>
          <w:rFonts w:ascii="Arial" w:hAnsi="Arial" w:cs="Arial"/>
          <w:sz w:val="28"/>
          <w:szCs w:val="28"/>
        </w:rPr>
      </w:pPr>
      <w:r w:rsidRPr="001B31A2">
        <w:rPr>
          <w:rFonts w:ascii="Arial" w:hAnsi="Arial" w:cs="Arial"/>
          <w:sz w:val="28"/>
          <w:szCs w:val="28"/>
        </w:rPr>
        <w:t>Sowohl vor als auch während und nach der Weltwirtschaftskrise hat es immer wieder</w:t>
      </w:r>
      <w:r w:rsidR="009D4148" w:rsidRPr="001B31A2">
        <w:rPr>
          <w:rFonts w:ascii="Arial" w:hAnsi="Arial" w:cs="Arial"/>
          <w:sz w:val="28"/>
          <w:szCs w:val="28"/>
        </w:rPr>
        <w:t xml:space="preserve"> Versuche aus der Politik gegeben, Einzelunternehmen durch </w:t>
      </w:r>
      <w:r w:rsidR="00096344">
        <w:rPr>
          <w:rFonts w:ascii="Arial" w:hAnsi="Arial" w:cs="Arial"/>
          <w:sz w:val="28"/>
          <w:szCs w:val="28"/>
        </w:rPr>
        <w:t xml:space="preserve">Stützungsmaßnahmen des Staates </w:t>
      </w:r>
      <w:r w:rsidR="009D4148" w:rsidRPr="001B31A2">
        <w:rPr>
          <w:rFonts w:ascii="Arial" w:hAnsi="Arial" w:cs="Arial"/>
          <w:sz w:val="28"/>
          <w:szCs w:val="28"/>
        </w:rPr>
        <w:t xml:space="preserve">(in der Regel durch die Bereitstellung von staatlichen Bürgschaften) vor der Insolvenz zu retten. Spektakuläre Fälle waren der Holzmann-Baukonzern, bei dem sich der damalige Bundeskanzler Schröder medienwirksam als Retter feiern ließ, Opel, </w:t>
      </w:r>
      <w:proofErr w:type="spellStart"/>
      <w:r w:rsidR="009D4148" w:rsidRPr="001B31A2">
        <w:rPr>
          <w:rFonts w:ascii="Arial" w:hAnsi="Arial" w:cs="Arial"/>
          <w:sz w:val="28"/>
          <w:szCs w:val="28"/>
        </w:rPr>
        <w:t>Arcandor</w:t>
      </w:r>
      <w:proofErr w:type="spellEnd"/>
      <w:r w:rsidR="009D4148" w:rsidRPr="001B31A2">
        <w:rPr>
          <w:rFonts w:ascii="Arial" w:hAnsi="Arial" w:cs="Arial"/>
          <w:sz w:val="28"/>
          <w:szCs w:val="28"/>
        </w:rPr>
        <w:t xml:space="preserve">/Quelle und Schlecker während der Wirtschaftskrise </w:t>
      </w:r>
      <w:r w:rsidR="0025787F" w:rsidRPr="001B31A2">
        <w:rPr>
          <w:rFonts w:ascii="Arial" w:hAnsi="Arial" w:cs="Arial"/>
          <w:sz w:val="28"/>
          <w:szCs w:val="28"/>
        </w:rPr>
        <w:t>und in jüngster Zeit</w:t>
      </w:r>
      <w:r w:rsidR="00983658" w:rsidRPr="001B31A2">
        <w:rPr>
          <w:rFonts w:ascii="Arial" w:hAnsi="Arial" w:cs="Arial"/>
          <w:sz w:val="28"/>
          <w:szCs w:val="28"/>
        </w:rPr>
        <w:t xml:space="preserve"> Air Berlin</w:t>
      </w:r>
      <w:r w:rsidR="00096344">
        <w:rPr>
          <w:rFonts w:ascii="Arial" w:hAnsi="Arial" w:cs="Arial"/>
          <w:sz w:val="28"/>
          <w:szCs w:val="28"/>
        </w:rPr>
        <w:t>, um nur einige zu nennen</w:t>
      </w:r>
      <w:r w:rsidR="00983658" w:rsidRPr="001B31A2">
        <w:rPr>
          <w:rFonts w:ascii="Arial" w:hAnsi="Arial" w:cs="Arial"/>
          <w:sz w:val="28"/>
          <w:szCs w:val="28"/>
        </w:rPr>
        <w:t xml:space="preserve">. Allen diesen Fällen ist gemeinsam, dass – soweit Unterstützungsmaßnahmen insbesondere vor der Insolvenz gewährt worden sind (bei </w:t>
      </w:r>
      <w:proofErr w:type="spellStart"/>
      <w:r w:rsidR="00983658" w:rsidRPr="001B31A2">
        <w:rPr>
          <w:rFonts w:ascii="Arial" w:hAnsi="Arial" w:cs="Arial"/>
          <w:sz w:val="28"/>
          <w:szCs w:val="28"/>
        </w:rPr>
        <w:t>Arcandor</w:t>
      </w:r>
      <w:proofErr w:type="spellEnd"/>
      <w:r w:rsidR="00983658" w:rsidRPr="001B31A2">
        <w:rPr>
          <w:rFonts w:ascii="Arial" w:hAnsi="Arial" w:cs="Arial"/>
          <w:sz w:val="28"/>
          <w:szCs w:val="28"/>
        </w:rPr>
        <w:t>-Quelle und Schlecker war dies nicht der Fall</w:t>
      </w:r>
      <w:r w:rsidR="00845E1B" w:rsidRPr="001B31A2">
        <w:rPr>
          <w:rFonts w:ascii="Arial" w:hAnsi="Arial" w:cs="Arial"/>
          <w:sz w:val="28"/>
          <w:szCs w:val="28"/>
        </w:rPr>
        <w:t>, bei Opel nur teilweise</w:t>
      </w:r>
      <w:r w:rsidR="00983658" w:rsidRPr="001B31A2">
        <w:rPr>
          <w:rFonts w:ascii="Arial" w:hAnsi="Arial" w:cs="Arial"/>
          <w:sz w:val="28"/>
          <w:szCs w:val="28"/>
        </w:rPr>
        <w:t xml:space="preserve">) </w:t>
      </w:r>
      <w:r w:rsidR="00096344" w:rsidRPr="001B31A2">
        <w:rPr>
          <w:rFonts w:ascii="Arial" w:hAnsi="Arial" w:cs="Arial"/>
          <w:sz w:val="28"/>
          <w:szCs w:val="28"/>
        </w:rPr>
        <w:t>–</w:t>
      </w:r>
      <w:r w:rsidR="00D31941">
        <w:rPr>
          <w:rFonts w:ascii="Arial" w:hAnsi="Arial" w:cs="Arial"/>
          <w:sz w:val="28"/>
          <w:szCs w:val="28"/>
        </w:rPr>
        <w:t xml:space="preserve"> </w:t>
      </w:r>
      <w:r w:rsidR="00983658" w:rsidRPr="001B31A2">
        <w:rPr>
          <w:rFonts w:ascii="Arial" w:hAnsi="Arial" w:cs="Arial"/>
          <w:sz w:val="28"/>
          <w:szCs w:val="28"/>
        </w:rPr>
        <w:t xml:space="preserve">die Unternehmen </w:t>
      </w:r>
      <w:r w:rsidR="00845E1B" w:rsidRPr="001B31A2">
        <w:rPr>
          <w:rFonts w:ascii="Arial" w:hAnsi="Arial" w:cs="Arial"/>
          <w:sz w:val="28"/>
          <w:szCs w:val="28"/>
        </w:rPr>
        <w:t xml:space="preserve">trotz der Rettungsmaßnahmen und </w:t>
      </w:r>
      <w:r w:rsidR="009903ED">
        <w:rPr>
          <w:rFonts w:ascii="Arial" w:hAnsi="Arial" w:cs="Arial"/>
          <w:sz w:val="28"/>
          <w:szCs w:val="28"/>
        </w:rPr>
        <w:t>zum Teil unter</w:t>
      </w:r>
      <w:r w:rsidR="00845E1B" w:rsidRPr="001B31A2">
        <w:rPr>
          <w:rFonts w:ascii="Arial" w:hAnsi="Arial" w:cs="Arial"/>
          <w:sz w:val="28"/>
          <w:szCs w:val="28"/>
        </w:rPr>
        <w:t xml:space="preserve"> Verlust der staatlichen Mittel einige Zeit später in die Insolvenz gegangen</w:t>
      </w:r>
      <w:r w:rsidR="00B52DD2">
        <w:rPr>
          <w:rFonts w:ascii="Arial" w:hAnsi="Arial" w:cs="Arial"/>
          <w:sz w:val="28"/>
          <w:szCs w:val="28"/>
        </w:rPr>
        <w:t xml:space="preserve"> </w:t>
      </w:r>
      <w:r w:rsidR="00D31941">
        <w:rPr>
          <w:rFonts w:ascii="Arial" w:hAnsi="Arial" w:cs="Arial"/>
          <w:sz w:val="28"/>
          <w:szCs w:val="28"/>
        </w:rPr>
        <w:t xml:space="preserve">sind </w:t>
      </w:r>
      <w:r w:rsidR="00B52DD2">
        <w:rPr>
          <w:rFonts w:ascii="Arial" w:hAnsi="Arial" w:cs="Arial"/>
          <w:sz w:val="28"/>
          <w:szCs w:val="28"/>
        </w:rPr>
        <w:t>oder sich – wie z.B. Opel – anderweitig neu strukturiert</w:t>
      </w:r>
      <w:r w:rsidR="00D31941">
        <w:rPr>
          <w:rFonts w:ascii="Arial" w:hAnsi="Arial" w:cs="Arial"/>
          <w:sz w:val="28"/>
          <w:szCs w:val="28"/>
        </w:rPr>
        <w:t xml:space="preserve">  haben</w:t>
      </w:r>
      <w:r w:rsidR="00096344">
        <w:rPr>
          <w:rFonts w:ascii="Arial" w:hAnsi="Arial" w:cs="Arial"/>
          <w:sz w:val="28"/>
          <w:szCs w:val="28"/>
        </w:rPr>
        <w:t>.</w:t>
      </w:r>
      <w:r w:rsidR="00845E1B" w:rsidRPr="001B31A2">
        <w:rPr>
          <w:rFonts w:ascii="Arial" w:hAnsi="Arial" w:cs="Arial"/>
          <w:sz w:val="28"/>
          <w:szCs w:val="28"/>
        </w:rPr>
        <w:t xml:space="preserve"> </w:t>
      </w:r>
      <w:r w:rsidR="000F1C97" w:rsidRPr="001B31A2">
        <w:rPr>
          <w:rFonts w:ascii="Arial" w:hAnsi="Arial" w:cs="Arial"/>
          <w:sz w:val="28"/>
          <w:szCs w:val="28"/>
        </w:rPr>
        <w:t xml:space="preserve">Insgesamt ist festzustellen, dass es </w:t>
      </w:r>
      <w:r w:rsidR="000F1C97" w:rsidRPr="001B31A2">
        <w:rPr>
          <w:rFonts w:ascii="Arial" w:hAnsi="Arial" w:cs="Arial"/>
          <w:sz w:val="28"/>
          <w:szCs w:val="28"/>
        </w:rPr>
        <w:lastRenderedPageBreak/>
        <w:t xml:space="preserve">kaum Beispiele dafür gibt, dass staatliche Unterstützungsmaßnahmen </w:t>
      </w:r>
      <w:r w:rsidR="000F1C97" w:rsidRPr="00EA00E4">
        <w:rPr>
          <w:rFonts w:ascii="Arial" w:hAnsi="Arial" w:cs="Arial"/>
          <w:b/>
          <w:sz w:val="28"/>
          <w:szCs w:val="28"/>
        </w:rPr>
        <w:t>vor</w:t>
      </w:r>
      <w:r w:rsidR="000F1C97" w:rsidRPr="001B31A2">
        <w:rPr>
          <w:rFonts w:ascii="Arial" w:hAnsi="Arial" w:cs="Arial"/>
          <w:sz w:val="28"/>
          <w:szCs w:val="28"/>
        </w:rPr>
        <w:t xml:space="preserve"> der Insolvenz erfolgreich waren. </w:t>
      </w:r>
      <w:proofErr w:type="spellStart"/>
      <w:r w:rsidR="000F1C97" w:rsidRPr="001B31A2">
        <w:rPr>
          <w:rFonts w:ascii="Arial" w:hAnsi="Arial" w:cs="Arial"/>
          <w:sz w:val="28"/>
          <w:szCs w:val="28"/>
        </w:rPr>
        <w:t>KnausTabbert</w:t>
      </w:r>
      <w:proofErr w:type="spellEnd"/>
      <w:r w:rsidR="000F1C97" w:rsidRPr="001B31A2">
        <w:rPr>
          <w:rFonts w:ascii="Arial" w:hAnsi="Arial" w:cs="Arial"/>
          <w:sz w:val="28"/>
          <w:szCs w:val="28"/>
        </w:rPr>
        <w:t xml:space="preserve"> (Wohnwagen), Rosenthal (Geschirr) und </w:t>
      </w:r>
      <w:proofErr w:type="spellStart"/>
      <w:r w:rsidR="0036159A" w:rsidRPr="001B31A2">
        <w:rPr>
          <w:rFonts w:ascii="Arial" w:hAnsi="Arial" w:cs="Arial"/>
          <w:sz w:val="28"/>
          <w:szCs w:val="28"/>
        </w:rPr>
        <w:t>manroland</w:t>
      </w:r>
      <w:proofErr w:type="spellEnd"/>
      <w:r w:rsidR="0036159A" w:rsidRPr="001B31A2">
        <w:rPr>
          <w:rFonts w:ascii="Arial" w:hAnsi="Arial" w:cs="Arial"/>
          <w:sz w:val="28"/>
          <w:szCs w:val="28"/>
        </w:rPr>
        <w:t xml:space="preserve"> (Druckmaschinen) hingegen, bei denen Bürgschaften oder Investitionsförderungsmaßnahmen </w:t>
      </w:r>
      <w:r w:rsidR="0036159A" w:rsidRPr="00EA00E4">
        <w:rPr>
          <w:rFonts w:ascii="Arial" w:hAnsi="Arial" w:cs="Arial"/>
          <w:b/>
          <w:sz w:val="28"/>
          <w:szCs w:val="28"/>
        </w:rPr>
        <w:t>nach</w:t>
      </w:r>
      <w:r w:rsidR="0036159A" w:rsidRPr="001B31A2">
        <w:rPr>
          <w:rFonts w:ascii="Arial" w:hAnsi="Arial" w:cs="Arial"/>
          <w:sz w:val="28"/>
          <w:szCs w:val="28"/>
        </w:rPr>
        <w:t xml:space="preserve"> der Insolvenz im Zusammenhang mit neuen Investoren </w:t>
      </w:r>
      <w:r w:rsidR="00173E45">
        <w:rPr>
          <w:rFonts w:ascii="Arial" w:hAnsi="Arial" w:cs="Arial"/>
          <w:sz w:val="28"/>
          <w:szCs w:val="28"/>
        </w:rPr>
        <w:t>gewährt wurden</w:t>
      </w:r>
      <w:r w:rsidR="0036159A" w:rsidRPr="001B31A2">
        <w:rPr>
          <w:rFonts w:ascii="Arial" w:hAnsi="Arial" w:cs="Arial"/>
          <w:sz w:val="28"/>
          <w:szCs w:val="28"/>
        </w:rPr>
        <w:t xml:space="preserve">, konnten nicht nur überleben, sondern haben sich zum Teil äußerst </w:t>
      </w:r>
      <w:r w:rsidR="00B62705" w:rsidRPr="001B31A2">
        <w:rPr>
          <w:rFonts w:ascii="Arial" w:hAnsi="Arial" w:cs="Arial"/>
          <w:sz w:val="28"/>
          <w:szCs w:val="28"/>
        </w:rPr>
        <w:t>erfolgreich entwickelt.</w:t>
      </w:r>
    </w:p>
    <w:p w14:paraId="6972ABF9" w14:textId="77777777" w:rsidR="00B62705" w:rsidRPr="001B31A2" w:rsidRDefault="00B62705" w:rsidP="001B31A2">
      <w:pPr>
        <w:spacing w:line="360" w:lineRule="auto"/>
        <w:jc w:val="both"/>
        <w:rPr>
          <w:rFonts w:ascii="Arial" w:hAnsi="Arial" w:cs="Arial"/>
          <w:sz w:val="28"/>
          <w:szCs w:val="28"/>
        </w:rPr>
      </w:pPr>
    </w:p>
    <w:p w14:paraId="55803974" w14:textId="46440CC0" w:rsidR="00B3717D" w:rsidRPr="00EA00E4" w:rsidRDefault="00B3717D" w:rsidP="001B31A2">
      <w:pPr>
        <w:spacing w:line="360" w:lineRule="auto"/>
        <w:jc w:val="center"/>
        <w:rPr>
          <w:rFonts w:ascii="Arial" w:hAnsi="Arial" w:cs="Arial"/>
          <w:b/>
          <w:sz w:val="28"/>
          <w:szCs w:val="28"/>
          <w:u w:val="single"/>
        </w:rPr>
      </w:pPr>
      <w:r w:rsidRPr="00EA00E4">
        <w:rPr>
          <w:rFonts w:ascii="Arial" w:hAnsi="Arial" w:cs="Arial"/>
          <w:b/>
          <w:sz w:val="28"/>
          <w:szCs w:val="28"/>
        </w:rPr>
        <w:t>B</w:t>
      </w:r>
      <w:r w:rsidRPr="001B31A2">
        <w:rPr>
          <w:rFonts w:ascii="Arial" w:hAnsi="Arial" w:cs="Arial"/>
          <w:sz w:val="28"/>
          <w:szCs w:val="28"/>
        </w:rPr>
        <w:t xml:space="preserve">. </w:t>
      </w:r>
      <w:r w:rsidRPr="00EA00E4">
        <w:rPr>
          <w:rFonts w:ascii="Arial" w:hAnsi="Arial" w:cs="Arial"/>
          <w:b/>
          <w:sz w:val="28"/>
          <w:szCs w:val="28"/>
          <w:u w:val="single"/>
        </w:rPr>
        <w:t>Handlungsrahmen der Politik</w:t>
      </w:r>
    </w:p>
    <w:p w14:paraId="3BA9F9A4" w14:textId="77777777" w:rsidR="00B3717D" w:rsidRPr="001B31A2" w:rsidRDefault="00B3717D" w:rsidP="001B31A2">
      <w:pPr>
        <w:spacing w:line="360" w:lineRule="auto"/>
        <w:jc w:val="center"/>
        <w:rPr>
          <w:rFonts w:ascii="Arial" w:hAnsi="Arial" w:cs="Arial"/>
          <w:sz w:val="28"/>
          <w:szCs w:val="28"/>
        </w:rPr>
      </w:pPr>
    </w:p>
    <w:p w14:paraId="6F3C5CB3" w14:textId="31E2A545" w:rsidR="00B62705" w:rsidRPr="001B31A2" w:rsidRDefault="00B62705" w:rsidP="001B31A2">
      <w:pPr>
        <w:spacing w:line="360" w:lineRule="auto"/>
        <w:jc w:val="both"/>
        <w:rPr>
          <w:rFonts w:ascii="Arial" w:hAnsi="Arial" w:cs="Arial"/>
          <w:sz w:val="28"/>
          <w:szCs w:val="28"/>
        </w:rPr>
      </w:pPr>
      <w:r w:rsidRPr="001B31A2">
        <w:rPr>
          <w:rFonts w:ascii="Arial" w:hAnsi="Arial" w:cs="Arial"/>
          <w:sz w:val="28"/>
          <w:szCs w:val="28"/>
        </w:rPr>
        <w:t>Daraus leiten sich für die Frage, ob und wann staatliche Unterstützungsmaßnahmen in der Krise eines Unternehmens rechtlich möglich und ordnungspolitisch gerechtfertigt sind, folgende Grundsätze ab:</w:t>
      </w:r>
    </w:p>
    <w:p w14:paraId="639DA57D" w14:textId="77777777" w:rsidR="00B62705" w:rsidRPr="001B31A2" w:rsidRDefault="00B62705" w:rsidP="001B31A2">
      <w:pPr>
        <w:spacing w:line="360" w:lineRule="auto"/>
        <w:jc w:val="both"/>
        <w:rPr>
          <w:rFonts w:ascii="Arial" w:hAnsi="Arial" w:cs="Arial"/>
          <w:sz w:val="28"/>
          <w:szCs w:val="28"/>
        </w:rPr>
      </w:pPr>
    </w:p>
    <w:p w14:paraId="5EEB2161" w14:textId="2A6C7499" w:rsidR="00B62705" w:rsidRPr="00096344" w:rsidRDefault="00B62705" w:rsidP="001B31A2">
      <w:pPr>
        <w:pStyle w:val="Listenabsatz"/>
        <w:numPr>
          <w:ilvl w:val="0"/>
          <w:numId w:val="5"/>
        </w:numPr>
        <w:spacing w:line="360" w:lineRule="auto"/>
        <w:jc w:val="both"/>
        <w:rPr>
          <w:rFonts w:ascii="Arial" w:hAnsi="Arial" w:cs="Arial"/>
          <w:b/>
          <w:sz w:val="28"/>
          <w:szCs w:val="28"/>
        </w:rPr>
      </w:pPr>
      <w:r w:rsidRPr="00096344">
        <w:rPr>
          <w:rFonts w:ascii="Arial" w:hAnsi="Arial" w:cs="Arial"/>
          <w:b/>
          <w:sz w:val="28"/>
          <w:szCs w:val="28"/>
        </w:rPr>
        <w:t>Rechtlicher Rahmen für sogenannte Beihilfen</w:t>
      </w:r>
    </w:p>
    <w:p w14:paraId="7B05E4FC" w14:textId="77777777" w:rsidR="00B62705" w:rsidRPr="001B31A2" w:rsidRDefault="00B62705" w:rsidP="001B31A2">
      <w:pPr>
        <w:spacing w:line="360" w:lineRule="auto"/>
        <w:jc w:val="both"/>
        <w:rPr>
          <w:rFonts w:ascii="Arial" w:hAnsi="Arial" w:cs="Arial"/>
          <w:sz w:val="28"/>
          <w:szCs w:val="28"/>
        </w:rPr>
      </w:pPr>
    </w:p>
    <w:p w14:paraId="5D66B445" w14:textId="14B2E97D" w:rsidR="00B62705" w:rsidRPr="001B31A2" w:rsidRDefault="00B62705" w:rsidP="001B31A2">
      <w:pPr>
        <w:spacing w:line="360" w:lineRule="auto"/>
        <w:jc w:val="both"/>
        <w:rPr>
          <w:rFonts w:ascii="Arial" w:hAnsi="Arial" w:cs="Arial"/>
          <w:sz w:val="28"/>
          <w:szCs w:val="28"/>
        </w:rPr>
      </w:pPr>
      <w:r w:rsidRPr="001B31A2">
        <w:rPr>
          <w:rFonts w:ascii="Arial" w:hAnsi="Arial" w:cs="Arial"/>
          <w:sz w:val="28"/>
          <w:szCs w:val="28"/>
        </w:rPr>
        <w:t>Jede staatliche Unterstützungsmaßnahme, sei es im Einzelfall oder im Rahmen von staatlichen Unter</w:t>
      </w:r>
      <w:r w:rsidR="00096344">
        <w:rPr>
          <w:rFonts w:ascii="Arial" w:hAnsi="Arial" w:cs="Arial"/>
          <w:sz w:val="28"/>
          <w:szCs w:val="28"/>
        </w:rPr>
        <w:t>stützungs- und Förderprogramme</w:t>
      </w:r>
      <w:r w:rsidR="00EA00E4">
        <w:rPr>
          <w:rFonts w:ascii="Arial" w:hAnsi="Arial" w:cs="Arial"/>
          <w:sz w:val="28"/>
          <w:szCs w:val="28"/>
        </w:rPr>
        <w:t>n</w:t>
      </w:r>
      <w:r w:rsidRPr="001B31A2">
        <w:rPr>
          <w:rFonts w:ascii="Arial" w:hAnsi="Arial" w:cs="Arial"/>
          <w:sz w:val="28"/>
          <w:szCs w:val="28"/>
        </w:rPr>
        <w:t>, muss nach den Vorgaben des EU-Beihilferechts zulässig sein. Rechtsgrundlagen sind Art. 107 und 108 des EU-Vertrages (AEUV) und die hierzu ergangenen Verordnungen, Leitlinien und Ausführungsbest</w:t>
      </w:r>
      <w:r w:rsidR="00B3717D" w:rsidRPr="001B31A2">
        <w:rPr>
          <w:rFonts w:ascii="Arial" w:hAnsi="Arial" w:cs="Arial"/>
          <w:sz w:val="28"/>
          <w:szCs w:val="28"/>
        </w:rPr>
        <w:t>i</w:t>
      </w:r>
      <w:r w:rsidRPr="001B31A2">
        <w:rPr>
          <w:rFonts w:ascii="Arial" w:hAnsi="Arial" w:cs="Arial"/>
          <w:sz w:val="28"/>
          <w:szCs w:val="28"/>
        </w:rPr>
        <w:t xml:space="preserve">mmungen. Von besonderer Bedeutung </w:t>
      </w:r>
      <w:r w:rsidR="00EA00E4">
        <w:rPr>
          <w:rFonts w:ascii="Arial" w:hAnsi="Arial" w:cs="Arial"/>
          <w:sz w:val="28"/>
          <w:szCs w:val="28"/>
        </w:rPr>
        <w:t>sind</w:t>
      </w:r>
      <w:r w:rsidR="00B3717D" w:rsidRPr="001B31A2">
        <w:rPr>
          <w:rFonts w:ascii="Arial" w:hAnsi="Arial" w:cs="Arial"/>
          <w:sz w:val="28"/>
          <w:szCs w:val="28"/>
        </w:rPr>
        <w:t xml:space="preserve"> die sog.</w:t>
      </w:r>
      <w:r w:rsidR="00EA00E4">
        <w:rPr>
          <w:rFonts w:ascii="Arial" w:hAnsi="Arial" w:cs="Arial"/>
          <w:sz w:val="28"/>
          <w:szCs w:val="28"/>
        </w:rPr>
        <w:t xml:space="preserve"> Gruppenfreistellungsverordnung,</w:t>
      </w:r>
      <w:r w:rsidR="00B3717D" w:rsidRPr="001B31A2">
        <w:rPr>
          <w:rFonts w:ascii="Arial" w:hAnsi="Arial" w:cs="Arial"/>
          <w:sz w:val="28"/>
          <w:szCs w:val="28"/>
        </w:rPr>
        <w:t xml:space="preserve"> </w:t>
      </w:r>
      <w:r w:rsidR="00EA00E4">
        <w:rPr>
          <w:rFonts w:ascii="Arial" w:hAnsi="Arial" w:cs="Arial"/>
          <w:sz w:val="28"/>
          <w:szCs w:val="28"/>
        </w:rPr>
        <w:t xml:space="preserve">die </w:t>
      </w:r>
      <w:r w:rsidR="00B3717D" w:rsidRPr="001B31A2">
        <w:rPr>
          <w:rFonts w:ascii="Arial" w:hAnsi="Arial" w:cs="Arial"/>
          <w:sz w:val="28"/>
          <w:szCs w:val="28"/>
        </w:rPr>
        <w:t xml:space="preserve">VO </w:t>
      </w:r>
      <w:r w:rsidR="00EA00E4">
        <w:rPr>
          <w:rFonts w:ascii="Arial" w:hAnsi="Arial" w:cs="Arial"/>
          <w:sz w:val="28"/>
          <w:szCs w:val="28"/>
        </w:rPr>
        <w:t>bezüglich der</w:t>
      </w:r>
      <w:r w:rsidR="00B3717D" w:rsidRPr="001B31A2">
        <w:rPr>
          <w:rFonts w:ascii="Arial" w:hAnsi="Arial" w:cs="Arial"/>
          <w:sz w:val="28"/>
          <w:szCs w:val="28"/>
        </w:rPr>
        <w:t xml:space="preserve"> sog. „De-</w:t>
      </w:r>
      <w:proofErr w:type="spellStart"/>
      <w:r w:rsidR="00B3717D" w:rsidRPr="001B31A2">
        <w:rPr>
          <w:rFonts w:ascii="Arial" w:hAnsi="Arial" w:cs="Arial"/>
          <w:sz w:val="28"/>
          <w:szCs w:val="28"/>
        </w:rPr>
        <w:t>minimis</w:t>
      </w:r>
      <w:proofErr w:type="spellEnd"/>
      <w:r w:rsidR="00B3717D" w:rsidRPr="001B31A2">
        <w:rPr>
          <w:rFonts w:ascii="Arial" w:hAnsi="Arial" w:cs="Arial"/>
          <w:sz w:val="28"/>
          <w:szCs w:val="28"/>
        </w:rPr>
        <w:t xml:space="preserve">“-Beihilfen </w:t>
      </w:r>
      <w:r w:rsidR="00EA00E4">
        <w:rPr>
          <w:rFonts w:ascii="Arial" w:hAnsi="Arial" w:cs="Arial"/>
          <w:sz w:val="28"/>
          <w:szCs w:val="28"/>
        </w:rPr>
        <w:t>sowie die Leitlinien für staatliche Beihilfen zur Rettung und Umstrukturierung nichtfinanzieller Unternehmen.</w:t>
      </w:r>
    </w:p>
    <w:p w14:paraId="61A2ACB1" w14:textId="0558C59F" w:rsidR="00EA00E4" w:rsidRPr="001B31A2" w:rsidRDefault="00EA00E4" w:rsidP="001B31A2">
      <w:pPr>
        <w:spacing w:line="360" w:lineRule="auto"/>
        <w:jc w:val="both"/>
        <w:rPr>
          <w:rFonts w:ascii="Arial" w:hAnsi="Arial" w:cs="Arial"/>
          <w:sz w:val="28"/>
          <w:szCs w:val="28"/>
        </w:rPr>
      </w:pPr>
    </w:p>
    <w:p w14:paraId="34E00B5D" w14:textId="0F614C6E" w:rsidR="00B3717D" w:rsidRPr="001B31A2" w:rsidRDefault="00B3717D" w:rsidP="001B31A2">
      <w:pPr>
        <w:spacing w:line="360" w:lineRule="auto"/>
        <w:jc w:val="both"/>
        <w:rPr>
          <w:rFonts w:ascii="Arial" w:hAnsi="Arial" w:cs="Arial"/>
          <w:sz w:val="28"/>
          <w:szCs w:val="28"/>
        </w:rPr>
      </w:pPr>
      <w:r w:rsidRPr="001B31A2">
        <w:rPr>
          <w:rFonts w:ascii="Arial" w:hAnsi="Arial" w:cs="Arial"/>
          <w:sz w:val="28"/>
          <w:szCs w:val="28"/>
        </w:rPr>
        <w:t>Hieraus ergibt sich folgende Systematik:</w:t>
      </w:r>
    </w:p>
    <w:p w14:paraId="1220CCE6" w14:textId="77777777" w:rsidR="00B3717D" w:rsidRPr="001B31A2" w:rsidRDefault="00B3717D" w:rsidP="001B31A2">
      <w:pPr>
        <w:spacing w:line="360" w:lineRule="auto"/>
        <w:jc w:val="both"/>
        <w:rPr>
          <w:rFonts w:ascii="Arial" w:hAnsi="Arial" w:cs="Arial"/>
          <w:sz w:val="28"/>
          <w:szCs w:val="28"/>
        </w:rPr>
      </w:pPr>
    </w:p>
    <w:p w14:paraId="22BDC645" w14:textId="36D5BA46" w:rsidR="00B3717D" w:rsidRDefault="00B3717D" w:rsidP="00EA00E4">
      <w:pPr>
        <w:pStyle w:val="Listenabsatz"/>
        <w:numPr>
          <w:ilvl w:val="0"/>
          <w:numId w:val="2"/>
        </w:numPr>
        <w:spacing w:line="360" w:lineRule="auto"/>
        <w:ind w:left="284" w:hanging="284"/>
        <w:jc w:val="both"/>
        <w:rPr>
          <w:rFonts w:ascii="Arial" w:hAnsi="Arial" w:cs="Arial"/>
          <w:sz w:val="28"/>
          <w:szCs w:val="28"/>
        </w:rPr>
      </w:pPr>
      <w:r w:rsidRPr="001B31A2">
        <w:rPr>
          <w:rFonts w:ascii="Arial" w:hAnsi="Arial" w:cs="Arial"/>
          <w:sz w:val="28"/>
          <w:szCs w:val="28"/>
        </w:rPr>
        <w:lastRenderedPageBreak/>
        <w:t xml:space="preserve">Beihilfen bedürfen grundsätzlich der Anzeige und der Genehmigung durch die EU-Kommission. Nach erfolgter </w:t>
      </w:r>
      <w:proofErr w:type="spellStart"/>
      <w:r w:rsidRPr="001B31A2">
        <w:rPr>
          <w:rFonts w:ascii="Arial" w:hAnsi="Arial" w:cs="Arial"/>
          <w:sz w:val="28"/>
          <w:szCs w:val="28"/>
        </w:rPr>
        <w:t>Notifizierung</w:t>
      </w:r>
      <w:proofErr w:type="spellEnd"/>
      <w:r w:rsidRPr="001B31A2">
        <w:rPr>
          <w:rFonts w:ascii="Arial" w:hAnsi="Arial" w:cs="Arial"/>
          <w:sz w:val="28"/>
          <w:szCs w:val="28"/>
        </w:rPr>
        <w:t xml:space="preserve"> gilt bis zur Entscheidung der Kommission ein Durchführungsverbot gem. Art 108 Abs. 3 EU-Vertrag, so dass die Beihilfe bis zu einem positiven Bescheid nicht gewährt werden darf. Gleichwohl gewährte Beihilfen sind von Anfang unwirksam und müssen von der staatlichen Stelle zurückgefordert werden.</w:t>
      </w:r>
    </w:p>
    <w:p w14:paraId="4057E659" w14:textId="77777777" w:rsidR="00BB5381" w:rsidRPr="001B31A2" w:rsidRDefault="00BB5381" w:rsidP="00BB5381">
      <w:pPr>
        <w:pStyle w:val="Listenabsatz"/>
        <w:spacing w:line="360" w:lineRule="auto"/>
        <w:jc w:val="both"/>
        <w:rPr>
          <w:rFonts w:ascii="Arial" w:hAnsi="Arial" w:cs="Arial"/>
          <w:sz w:val="28"/>
          <w:szCs w:val="28"/>
        </w:rPr>
      </w:pPr>
    </w:p>
    <w:p w14:paraId="266B029B" w14:textId="606A779B" w:rsidR="00096344" w:rsidRDefault="00B3717D" w:rsidP="00173E45">
      <w:pPr>
        <w:pStyle w:val="Listenabsatz"/>
        <w:numPr>
          <w:ilvl w:val="0"/>
          <w:numId w:val="2"/>
        </w:numPr>
        <w:spacing w:line="360" w:lineRule="auto"/>
        <w:ind w:left="284" w:hanging="284"/>
        <w:jc w:val="both"/>
        <w:rPr>
          <w:rFonts w:ascii="Arial" w:hAnsi="Arial" w:cs="Arial"/>
          <w:sz w:val="28"/>
          <w:szCs w:val="28"/>
        </w:rPr>
      </w:pPr>
      <w:r w:rsidRPr="001B31A2">
        <w:rPr>
          <w:rFonts w:ascii="Arial" w:hAnsi="Arial" w:cs="Arial"/>
          <w:sz w:val="28"/>
          <w:szCs w:val="28"/>
        </w:rPr>
        <w:t>Es gibt allgemeine und besondere Ausnahmen:</w:t>
      </w:r>
    </w:p>
    <w:p w14:paraId="6F7B5776" w14:textId="12D8BEE0" w:rsidR="009903ED" w:rsidRPr="009903ED" w:rsidRDefault="009903ED" w:rsidP="009903ED">
      <w:pPr>
        <w:spacing w:line="360" w:lineRule="auto"/>
        <w:jc w:val="both"/>
        <w:rPr>
          <w:rFonts w:ascii="Arial" w:hAnsi="Arial" w:cs="Arial"/>
          <w:sz w:val="28"/>
          <w:szCs w:val="28"/>
        </w:rPr>
      </w:pPr>
    </w:p>
    <w:p w14:paraId="3F61B839" w14:textId="1F8C547E" w:rsidR="00B62705" w:rsidRPr="00BB5381" w:rsidRDefault="00412546" w:rsidP="00BB5381">
      <w:pPr>
        <w:pStyle w:val="Listenabsatz"/>
        <w:numPr>
          <w:ilvl w:val="0"/>
          <w:numId w:val="7"/>
        </w:numPr>
        <w:spacing w:line="360" w:lineRule="auto"/>
        <w:ind w:left="426" w:hanging="426"/>
        <w:jc w:val="both"/>
        <w:rPr>
          <w:rFonts w:ascii="Arial" w:hAnsi="Arial" w:cs="Arial"/>
          <w:b/>
          <w:sz w:val="28"/>
          <w:szCs w:val="28"/>
        </w:rPr>
      </w:pPr>
      <w:r w:rsidRPr="00BB5381">
        <w:rPr>
          <w:rFonts w:ascii="Arial" w:hAnsi="Arial" w:cs="Arial"/>
          <w:b/>
          <w:sz w:val="28"/>
          <w:szCs w:val="28"/>
        </w:rPr>
        <w:t xml:space="preserve">Nicht anmeldepflichtige </w:t>
      </w:r>
      <w:r w:rsidR="00BB5381">
        <w:rPr>
          <w:rFonts w:ascii="Arial" w:hAnsi="Arial" w:cs="Arial"/>
          <w:b/>
          <w:sz w:val="28"/>
          <w:szCs w:val="28"/>
        </w:rPr>
        <w:t xml:space="preserve">bzw. vereinbare </w:t>
      </w:r>
      <w:r w:rsidRPr="00BB5381">
        <w:rPr>
          <w:rFonts w:ascii="Arial" w:hAnsi="Arial" w:cs="Arial"/>
          <w:b/>
          <w:sz w:val="28"/>
          <w:szCs w:val="28"/>
        </w:rPr>
        <w:t>Beihilfen</w:t>
      </w:r>
    </w:p>
    <w:p w14:paraId="0C9C3067" w14:textId="77777777" w:rsidR="00BB5381" w:rsidRDefault="00BB5381" w:rsidP="00096344">
      <w:pPr>
        <w:pStyle w:val="Default"/>
        <w:spacing w:line="360" w:lineRule="auto"/>
        <w:rPr>
          <w:rFonts w:ascii="Arial" w:hAnsi="Arial" w:cs="Arial"/>
          <w:sz w:val="28"/>
          <w:szCs w:val="28"/>
        </w:rPr>
      </w:pPr>
    </w:p>
    <w:p w14:paraId="67901D33" w14:textId="1990A25F" w:rsidR="00096344" w:rsidRPr="00BB5381" w:rsidRDefault="00BB5381" w:rsidP="00EA00E4">
      <w:pPr>
        <w:pStyle w:val="Default"/>
        <w:spacing w:line="360" w:lineRule="auto"/>
        <w:jc w:val="both"/>
        <w:rPr>
          <w:rFonts w:ascii="Arial" w:hAnsi="Arial" w:cs="Arial"/>
          <w:sz w:val="28"/>
          <w:szCs w:val="28"/>
        </w:rPr>
      </w:pPr>
      <w:r>
        <w:rPr>
          <w:rFonts w:ascii="Arial" w:hAnsi="Arial" w:cs="Arial"/>
          <w:sz w:val="28"/>
          <w:szCs w:val="28"/>
        </w:rPr>
        <w:t>Dabei handelt es sich um sogenannte</w:t>
      </w:r>
      <w:r w:rsidR="00096344" w:rsidRPr="00096344">
        <w:rPr>
          <w:sz w:val="23"/>
          <w:szCs w:val="23"/>
        </w:rPr>
        <w:t xml:space="preserve"> </w:t>
      </w:r>
      <w:r>
        <w:rPr>
          <w:rFonts w:ascii="Arial" w:hAnsi="Arial" w:cs="Arial"/>
          <w:sz w:val="28"/>
          <w:szCs w:val="28"/>
        </w:rPr>
        <w:t>Legal- bzw. Bereichsausnah</w:t>
      </w:r>
      <w:r w:rsidR="00EA00E4">
        <w:rPr>
          <w:rFonts w:ascii="Arial" w:hAnsi="Arial" w:cs="Arial"/>
          <w:sz w:val="28"/>
          <w:szCs w:val="28"/>
        </w:rPr>
        <w:t>men</w:t>
      </w:r>
      <w:r>
        <w:rPr>
          <w:rFonts w:ascii="Arial" w:hAnsi="Arial" w:cs="Arial"/>
          <w:sz w:val="28"/>
          <w:szCs w:val="28"/>
        </w:rPr>
        <w:t>, welche</w:t>
      </w:r>
      <w:r w:rsidR="00096344" w:rsidRPr="00096344">
        <w:rPr>
          <w:rFonts w:ascii="Arial" w:hAnsi="Arial" w:cs="Arial"/>
          <w:sz w:val="28"/>
          <w:szCs w:val="28"/>
        </w:rPr>
        <w:t xml:space="preserve"> die EU-Kommission per se als m</w:t>
      </w:r>
      <w:r>
        <w:rPr>
          <w:rFonts w:ascii="Arial" w:hAnsi="Arial" w:cs="Arial"/>
          <w:sz w:val="28"/>
          <w:szCs w:val="28"/>
        </w:rPr>
        <w:t>it dem Binnenmarkt vereinbar an</w:t>
      </w:r>
      <w:r w:rsidR="00096344" w:rsidRPr="00096344">
        <w:rPr>
          <w:rFonts w:ascii="Arial" w:hAnsi="Arial" w:cs="Arial"/>
          <w:sz w:val="28"/>
          <w:szCs w:val="28"/>
        </w:rPr>
        <w:t>sieht. Hierzu gehören staatliche Beihilfen sozialer Ar</w:t>
      </w:r>
      <w:r>
        <w:rPr>
          <w:rFonts w:ascii="Arial" w:hAnsi="Arial" w:cs="Arial"/>
          <w:sz w:val="28"/>
          <w:szCs w:val="28"/>
        </w:rPr>
        <w:t>t an einzelne Verbraucher, Kata</w:t>
      </w:r>
      <w:r w:rsidR="00096344" w:rsidRPr="00096344">
        <w:rPr>
          <w:rFonts w:ascii="Arial" w:hAnsi="Arial" w:cs="Arial"/>
          <w:sz w:val="28"/>
          <w:szCs w:val="28"/>
        </w:rPr>
        <w:t>strophenbeihilfen sowie Beihilfen aufgrund der Teilung Deutschlands</w:t>
      </w:r>
      <w:r>
        <w:rPr>
          <w:rFonts w:ascii="Arial" w:hAnsi="Arial" w:cs="Arial"/>
          <w:sz w:val="28"/>
          <w:szCs w:val="28"/>
        </w:rPr>
        <w:t xml:space="preserve">, sowie nach </w:t>
      </w:r>
      <w:r w:rsidR="00096344" w:rsidRPr="00096344">
        <w:rPr>
          <w:rFonts w:ascii="Arial" w:hAnsi="Arial" w:cs="Arial"/>
          <w:sz w:val="28"/>
          <w:szCs w:val="28"/>
        </w:rPr>
        <w:t xml:space="preserve">Artikel 107 Absatz 3 AEUV weitere Kategorien von Beihilfen, die die EU-Kommission als mit dem Binnenmarkt vereinbar erklären kann. </w:t>
      </w:r>
      <w:r w:rsidR="00EA00E4">
        <w:rPr>
          <w:rFonts w:ascii="Arial" w:hAnsi="Arial" w:cs="Arial"/>
          <w:sz w:val="28"/>
          <w:szCs w:val="28"/>
        </w:rPr>
        <w:t>Das sind</w:t>
      </w:r>
      <w:r w:rsidRPr="00BB5381">
        <w:rPr>
          <w:rFonts w:ascii="Arial" w:hAnsi="Arial" w:cs="Arial"/>
          <w:sz w:val="28"/>
          <w:szCs w:val="28"/>
        </w:rPr>
        <w:t xml:space="preserve"> u.a.</w:t>
      </w:r>
      <w:r w:rsidR="00EA00E4">
        <w:rPr>
          <w:rFonts w:ascii="Arial" w:hAnsi="Arial" w:cs="Arial"/>
          <w:sz w:val="28"/>
          <w:szCs w:val="28"/>
        </w:rPr>
        <w:t xml:space="preserve"> Struktur- und Regionalbeihilfen, </w:t>
      </w:r>
      <w:r w:rsidR="00096344" w:rsidRPr="00BB5381">
        <w:rPr>
          <w:rFonts w:ascii="Arial" w:hAnsi="Arial" w:cs="Arial"/>
          <w:sz w:val="28"/>
          <w:szCs w:val="28"/>
        </w:rPr>
        <w:t xml:space="preserve">Beihilfen zur Förderung der Kultur </w:t>
      </w:r>
      <w:r w:rsidR="00EA00E4">
        <w:rPr>
          <w:rFonts w:ascii="Arial" w:hAnsi="Arial" w:cs="Arial"/>
          <w:sz w:val="28"/>
          <w:szCs w:val="28"/>
        </w:rPr>
        <w:t xml:space="preserve">sowie </w:t>
      </w:r>
      <w:r w:rsidR="00096344" w:rsidRPr="00BB5381">
        <w:rPr>
          <w:rFonts w:ascii="Arial" w:hAnsi="Arial" w:cs="Arial"/>
          <w:sz w:val="28"/>
          <w:szCs w:val="28"/>
        </w:rPr>
        <w:t xml:space="preserve">sonstige Arten von Beihilfen, die der Rat durch einen Beschluss auf Vorschlag der Kommission bestimmt. </w:t>
      </w:r>
    </w:p>
    <w:p w14:paraId="2011E66B" w14:textId="6A62DA4E" w:rsidR="00EA00E4" w:rsidRDefault="00BB5381" w:rsidP="00BB5381">
      <w:pPr>
        <w:pStyle w:val="Default"/>
        <w:spacing w:line="360" w:lineRule="auto"/>
        <w:jc w:val="both"/>
        <w:rPr>
          <w:rFonts w:ascii="Arial" w:hAnsi="Arial" w:cs="Arial"/>
          <w:sz w:val="28"/>
          <w:szCs w:val="28"/>
        </w:rPr>
      </w:pPr>
      <w:r w:rsidRPr="00096344">
        <w:rPr>
          <w:rFonts w:ascii="Arial" w:hAnsi="Arial" w:cs="Arial"/>
          <w:sz w:val="28"/>
          <w:szCs w:val="28"/>
        </w:rPr>
        <w:t>Es handelt sich hierbei um einen Ermessenstatbestand, d. h. es liegt in der Befugnis der EU-Kommission, zu entscheiden, ob eine Fördermaßnahme genehmigt werden kann, weil sie nach Ansicht der EU-</w:t>
      </w:r>
      <w:r w:rsidRPr="00BB5381">
        <w:rPr>
          <w:rFonts w:ascii="Arial" w:hAnsi="Arial" w:cs="Arial"/>
          <w:sz w:val="28"/>
          <w:szCs w:val="28"/>
        </w:rPr>
        <w:t>Kommission mit dem Binnenmarkt vereinbar ist.</w:t>
      </w:r>
    </w:p>
    <w:p w14:paraId="6D5DC17E" w14:textId="1EA41A9D" w:rsidR="00173E45" w:rsidRDefault="00173E45" w:rsidP="00BB5381">
      <w:pPr>
        <w:pStyle w:val="Default"/>
        <w:spacing w:line="360" w:lineRule="auto"/>
        <w:jc w:val="both"/>
        <w:rPr>
          <w:rFonts w:ascii="Arial" w:hAnsi="Arial" w:cs="Arial"/>
          <w:sz w:val="28"/>
          <w:szCs w:val="28"/>
        </w:rPr>
      </w:pPr>
    </w:p>
    <w:p w14:paraId="26BCD275" w14:textId="5890E11B" w:rsidR="009903ED" w:rsidRPr="00173E45" w:rsidRDefault="009903ED" w:rsidP="00BB5381">
      <w:pPr>
        <w:pStyle w:val="Default"/>
        <w:spacing w:line="360" w:lineRule="auto"/>
        <w:jc w:val="both"/>
        <w:rPr>
          <w:rFonts w:ascii="Arial" w:hAnsi="Arial" w:cs="Arial"/>
          <w:sz w:val="28"/>
          <w:szCs w:val="28"/>
        </w:rPr>
      </w:pPr>
    </w:p>
    <w:p w14:paraId="0A0D9300" w14:textId="1C9CA571" w:rsidR="00412546" w:rsidRDefault="00412546" w:rsidP="00EA00E4">
      <w:pPr>
        <w:pStyle w:val="Listenabsatz"/>
        <w:numPr>
          <w:ilvl w:val="0"/>
          <w:numId w:val="7"/>
        </w:numPr>
        <w:spacing w:line="360" w:lineRule="auto"/>
        <w:ind w:left="426" w:hanging="426"/>
        <w:jc w:val="both"/>
        <w:rPr>
          <w:rFonts w:ascii="Arial" w:hAnsi="Arial" w:cs="Arial"/>
          <w:b/>
          <w:sz w:val="28"/>
          <w:szCs w:val="28"/>
        </w:rPr>
      </w:pPr>
      <w:r w:rsidRPr="00EA00E4">
        <w:rPr>
          <w:rFonts w:ascii="Arial" w:hAnsi="Arial" w:cs="Arial"/>
          <w:b/>
          <w:sz w:val="28"/>
          <w:szCs w:val="28"/>
        </w:rPr>
        <w:t>Gruppenfreistellungen</w:t>
      </w:r>
    </w:p>
    <w:p w14:paraId="40839493" w14:textId="77777777" w:rsidR="009A5021" w:rsidRPr="009A5021" w:rsidRDefault="009A5021" w:rsidP="009A5021">
      <w:pPr>
        <w:spacing w:line="360" w:lineRule="auto"/>
        <w:jc w:val="both"/>
        <w:rPr>
          <w:rFonts w:ascii="Arial" w:hAnsi="Arial" w:cs="Arial"/>
          <w:b/>
          <w:sz w:val="28"/>
          <w:szCs w:val="28"/>
        </w:rPr>
      </w:pPr>
    </w:p>
    <w:p w14:paraId="780525F8" w14:textId="29F7F3E0" w:rsidR="00EA00E4" w:rsidRPr="009A5021" w:rsidRDefault="009A5021" w:rsidP="00EA00E4">
      <w:pPr>
        <w:spacing w:line="360" w:lineRule="auto"/>
        <w:jc w:val="both"/>
        <w:rPr>
          <w:rFonts w:ascii="Arial" w:hAnsi="Arial" w:cs="Arial"/>
          <w:sz w:val="28"/>
          <w:szCs w:val="28"/>
        </w:rPr>
      </w:pPr>
      <w:r w:rsidRPr="009A5021">
        <w:rPr>
          <w:rFonts w:ascii="Arial" w:hAnsi="Arial" w:cs="Arial"/>
          <w:sz w:val="28"/>
          <w:szCs w:val="28"/>
        </w:rPr>
        <w:lastRenderedPageBreak/>
        <w:t>Ferner ist eine Gruppe von Beihilfen</w:t>
      </w:r>
      <w:r>
        <w:rPr>
          <w:rFonts w:ascii="Arial" w:hAnsi="Arial" w:cs="Arial"/>
          <w:sz w:val="28"/>
          <w:szCs w:val="28"/>
        </w:rPr>
        <w:t xml:space="preserve"> durch entsprechende Verordnungen von der </w:t>
      </w:r>
      <w:proofErr w:type="spellStart"/>
      <w:r>
        <w:rPr>
          <w:rFonts w:ascii="Arial" w:hAnsi="Arial" w:cs="Arial"/>
          <w:sz w:val="28"/>
          <w:szCs w:val="28"/>
        </w:rPr>
        <w:t>Notifizierung</w:t>
      </w:r>
      <w:proofErr w:type="spellEnd"/>
      <w:r>
        <w:rPr>
          <w:rFonts w:ascii="Arial" w:hAnsi="Arial" w:cs="Arial"/>
          <w:sz w:val="28"/>
          <w:szCs w:val="28"/>
        </w:rPr>
        <w:t xml:space="preserve"> freigestellt, so z.B. Regionalbeihilfen, Beihilfen zur Erschließung von KMU-Finanzierungen, für Forschung, Entwicklung und Innovation, Ausbildungs- und Beschäftigungsbeihilfen, für Breitbandinfrastrukturen etc. etc.</w:t>
      </w:r>
    </w:p>
    <w:p w14:paraId="6F105B3F" w14:textId="77777777" w:rsidR="0052760D" w:rsidRPr="0052760D" w:rsidRDefault="0052760D" w:rsidP="0052760D">
      <w:pPr>
        <w:shd w:val="clear" w:color="auto" w:fill="FFFFFF"/>
        <w:rPr>
          <w:rFonts w:ascii="Arial" w:eastAsia="Times New Roman" w:hAnsi="Arial" w:cs="Arial"/>
          <w:vanish/>
          <w:sz w:val="28"/>
          <w:szCs w:val="28"/>
        </w:rPr>
      </w:pPr>
    </w:p>
    <w:p w14:paraId="474D4EFC" w14:textId="0B2B4A10" w:rsidR="0052760D" w:rsidRDefault="0052760D" w:rsidP="00BB5381">
      <w:pPr>
        <w:spacing w:line="360" w:lineRule="auto"/>
        <w:jc w:val="both"/>
        <w:rPr>
          <w:rFonts w:ascii="Arial" w:hAnsi="Arial" w:cs="Arial"/>
          <w:sz w:val="28"/>
          <w:szCs w:val="28"/>
        </w:rPr>
      </w:pPr>
      <w:r>
        <w:rPr>
          <w:rFonts w:ascii="Arial" w:hAnsi="Arial" w:cs="Arial"/>
          <w:sz w:val="28"/>
          <w:szCs w:val="28"/>
        </w:rPr>
        <w:t xml:space="preserve">Die einzelnen Beihilfen sind jedoch der Höhe nach </w:t>
      </w:r>
      <w:r w:rsidR="00730661">
        <w:rPr>
          <w:rFonts w:ascii="Arial" w:hAnsi="Arial" w:cs="Arial"/>
          <w:sz w:val="28"/>
          <w:szCs w:val="28"/>
        </w:rPr>
        <w:t>mit verschiedenen Schwellenwerten begrenzt.</w:t>
      </w:r>
    </w:p>
    <w:p w14:paraId="7D07AFBC" w14:textId="77777777" w:rsidR="00730661" w:rsidRPr="00BB5381" w:rsidRDefault="00730661" w:rsidP="00BB5381">
      <w:pPr>
        <w:spacing w:line="360" w:lineRule="auto"/>
        <w:jc w:val="both"/>
        <w:rPr>
          <w:rFonts w:ascii="Arial" w:hAnsi="Arial" w:cs="Arial"/>
          <w:sz w:val="28"/>
          <w:szCs w:val="28"/>
        </w:rPr>
      </w:pPr>
    </w:p>
    <w:p w14:paraId="6921D32C" w14:textId="64DB6315" w:rsidR="00412546" w:rsidRPr="009A5021" w:rsidRDefault="00412546" w:rsidP="00173E45">
      <w:pPr>
        <w:pStyle w:val="Listenabsatz"/>
        <w:numPr>
          <w:ilvl w:val="0"/>
          <w:numId w:val="7"/>
        </w:numPr>
        <w:spacing w:line="360" w:lineRule="auto"/>
        <w:ind w:left="426" w:hanging="426"/>
        <w:jc w:val="both"/>
        <w:rPr>
          <w:rFonts w:ascii="Arial" w:hAnsi="Arial" w:cs="Arial"/>
          <w:b/>
          <w:sz w:val="28"/>
          <w:szCs w:val="28"/>
        </w:rPr>
      </w:pPr>
      <w:r w:rsidRPr="009A5021">
        <w:rPr>
          <w:rFonts w:ascii="Arial" w:hAnsi="Arial" w:cs="Arial"/>
          <w:b/>
          <w:sz w:val="28"/>
          <w:szCs w:val="28"/>
        </w:rPr>
        <w:t>De-</w:t>
      </w:r>
      <w:proofErr w:type="spellStart"/>
      <w:r w:rsidRPr="009A5021">
        <w:rPr>
          <w:rFonts w:ascii="Arial" w:hAnsi="Arial" w:cs="Arial"/>
          <w:b/>
          <w:sz w:val="28"/>
          <w:szCs w:val="28"/>
        </w:rPr>
        <w:t>minimis</w:t>
      </w:r>
      <w:proofErr w:type="spellEnd"/>
      <w:r w:rsidRPr="009A5021">
        <w:rPr>
          <w:rFonts w:ascii="Arial" w:hAnsi="Arial" w:cs="Arial"/>
          <w:b/>
          <w:sz w:val="28"/>
          <w:szCs w:val="28"/>
        </w:rPr>
        <w:t>-Beihilfen</w:t>
      </w:r>
    </w:p>
    <w:p w14:paraId="4F750454" w14:textId="77777777" w:rsidR="00730661" w:rsidRPr="00730661" w:rsidRDefault="00730661" w:rsidP="00730661">
      <w:pPr>
        <w:spacing w:line="360" w:lineRule="auto"/>
        <w:ind w:left="360"/>
        <w:jc w:val="both"/>
        <w:rPr>
          <w:rFonts w:ascii="Arial" w:hAnsi="Arial" w:cs="Arial"/>
          <w:sz w:val="28"/>
          <w:szCs w:val="28"/>
        </w:rPr>
      </w:pPr>
    </w:p>
    <w:p w14:paraId="4FD2E1B9" w14:textId="71EA5E42" w:rsidR="0052760D" w:rsidRPr="009903ED" w:rsidRDefault="00730661" w:rsidP="0052760D">
      <w:pPr>
        <w:spacing w:line="360" w:lineRule="auto"/>
        <w:jc w:val="both"/>
        <w:rPr>
          <w:rFonts w:ascii="Arial" w:hAnsi="Arial" w:cs="Arial"/>
          <w:sz w:val="28"/>
          <w:szCs w:val="28"/>
          <w:u w:val="single"/>
        </w:rPr>
      </w:pPr>
      <w:r>
        <w:rPr>
          <w:rFonts w:ascii="Arial" w:hAnsi="Arial" w:cs="Arial"/>
          <w:sz w:val="28"/>
          <w:szCs w:val="28"/>
        </w:rPr>
        <w:t xml:space="preserve">Beihilfen jeglicher Art </w:t>
      </w:r>
      <w:r w:rsidR="009A5021">
        <w:rPr>
          <w:rFonts w:ascii="Arial" w:hAnsi="Arial" w:cs="Arial"/>
          <w:sz w:val="28"/>
          <w:szCs w:val="28"/>
        </w:rPr>
        <w:t xml:space="preserve">sind </w:t>
      </w:r>
      <w:r>
        <w:rPr>
          <w:rFonts w:ascii="Arial" w:hAnsi="Arial" w:cs="Arial"/>
          <w:sz w:val="28"/>
          <w:szCs w:val="28"/>
        </w:rPr>
        <w:t xml:space="preserve">bis </w:t>
      </w:r>
      <w:proofErr w:type="gramStart"/>
      <w:r>
        <w:rPr>
          <w:rFonts w:ascii="Arial" w:hAnsi="Arial" w:cs="Arial"/>
          <w:sz w:val="28"/>
          <w:szCs w:val="28"/>
        </w:rPr>
        <w:t>zum einem Höchstbetrag</w:t>
      </w:r>
      <w:proofErr w:type="gramEnd"/>
      <w:r>
        <w:rPr>
          <w:rFonts w:ascii="Arial" w:hAnsi="Arial" w:cs="Arial"/>
          <w:sz w:val="28"/>
          <w:szCs w:val="28"/>
        </w:rPr>
        <w:t xml:space="preserve"> von € 200.000,-- innerhalb von 3 Jahren an ein Unternehmen nicht zu </w:t>
      </w:r>
      <w:proofErr w:type="spellStart"/>
      <w:r>
        <w:rPr>
          <w:rFonts w:ascii="Arial" w:hAnsi="Arial" w:cs="Arial"/>
          <w:sz w:val="28"/>
          <w:szCs w:val="28"/>
        </w:rPr>
        <w:t>notifizieren</w:t>
      </w:r>
      <w:proofErr w:type="spellEnd"/>
      <w:r>
        <w:rPr>
          <w:rFonts w:ascii="Arial" w:hAnsi="Arial" w:cs="Arial"/>
          <w:sz w:val="28"/>
          <w:szCs w:val="28"/>
        </w:rPr>
        <w:t xml:space="preserve">, </w:t>
      </w:r>
      <w:r w:rsidRPr="009903ED">
        <w:rPr>
          <w:rFonts w:ascii="Arial" w:hAnsi="Arial" w:cs="Arial"/>
          <w:sz w:val="28"/>
          <w:szCs w:val="28"/>
          <w:u w:val="single"/>
        </w:rPr>
        <w:t>es sei denn, es handelt sich um ein Unternehmen in Schwierigkeiten.</w:t>
      </w:r>
    </w:p>
    <w:p w14:paraId="09FB3BB3" w14:textId="77777777" w:rsidR="00730661" w:rsidRPr="0052760D" w:rsidRDefault="00730661" w:rsidP="0052760D">
      <w:pPr>
        <w:spacing w:line="360" w:lineRule="auto"/>
        <w:jc w:val="both"/>
        <w:rPr>
          <w:rFonts w:ascii="Arial" w:hAnsi="Arial" w:cs="Arial"/>
          <w:sz w:val="28"/>
          <w:szCs w:val="28"/>
        </w:rPr>
      </w:pPr>
    </w:p>
    <w:p w14:paraId="45BFA3AB" w14:textId="1EF5ED9F" w:rsidR="00412546" w:rsidRPr="009A5021" w:rsidRDefault="00412546" w:rsidP="00173E45">
      <w:pPr>
        <w:pStyle w:val="Listenabsatz"/>
        <w:numPr>
          <w:ilvl w:val="0"/>
          <w:numId w:val="7"/>
        </w:numPr>
        <w:spacing w:line="360" w:lineRule="auto"/>
        <w:ind w:left="426" w:hanging="426"/>
        <w:jc w:val="both"/>
        <w:rPr>
          <w:rFonts w:ascii="Arial" w:hAnsi="Arial" w:cs="Arial"/>
          <w:b/>
          <w:sz w:val="28"/>
          <w:szCs w:val="28"/>
        </w:rPr>
      </w:pPr>
      <w:r w:rsidRPr="009A5021">
        <w:rPr>
          <w:rFonts w:ascii="Arial" w:hAnsi="Arial" w:cs="Arial"/>
          <w:b/>
          <w:sz w:val="28"/>
          <w:szCs w:val="28"/>
        </w:rPr>
        <w:t>Rettungs</w:t>
      </w:r>
      <w:r w:rsidR="009A5021">
        <w:rPr>
          <w:rFonts w:ascii="Arial" w:hAnsi="Arial" w:cs="Arial"/>
          <w:b/>
          <w:sz w:val="28"/>
          <w:szCs w:val="28"/>
        </w:rPr>
        <w:t>- und Umstrukturierungs</w:t>
      </w:r>
      <w:r w:rsidRPr="009A5021">
        <w:rPr>
          <w:rFonts w:ascii="Arial" w:hAnsi="Arial" w:cs="Arial"/>
          <w:b/>
          <w:sz w:val="28"/>
          <w:szCs w:val="28"/>
        </w:rPr>
        <w:t>beihilfen</w:t>
      </w:r>
    </w:p>
    <w:p w14:paraId="7A935271" w14:textId="77777777" w:rsidR="00730661" w:rsidRPr="00730661" w:rsidRDefault="00730661" w:rsidP="00730661">
      <w:pPr>
        <w:spacing w:line="360" w:lineRule="auto"/>
        <w:ind w:left="360"/>
        <w:jc w:val="both"/>
        <w:rPr>
          <w:rFonts w:ascii="Arial" w:hAnsi="Arial" w:cs="Arial"/>
          <w:sz w:val="28"/>
          <w:szCs w:val="28"/>
        </w:rPr>
      </w:pPr>
    </w:p>
    <w:p w14:paraId="12DC4575" w14:textId="21A6D2B8" w:rsidR="008C3559" w:rsidRDefault="00730661" w:rsidP="001B31A2">
      <w:pPr>
        <w:spacing w:line="360" w:lineRule="auto"/>
        <w:jc w:val="both"/>
        <w:rPr>
          <w:rFonts w:ascii="Arial" w:hAnsi="Arial" w:cs="Arial"/>
          <w:sz w:val="28"/>
          <w:szCs w:val="28"/>
        </w:rPr>
      </w:pPr>
      <w:r>
        <w:rPr>
          <w:rFonts w:ascii="Arial" w:hAnsi="Arial" w:cs="Arial"/>
          <w:sz w:val="28"/>
          <w:szCs w:val="28"/>
        </w:rPr>
        <w:t>Für staatliche Beihilfen zur Rettung und Umstrukturierung von Unternehmen in Schwierigkeiten hat die EU-Kommission eigene Leitli</w:t>
      </w:r>
      <w:r w:rsidR="008C3559">
        <w:rPr>
          <w:rFonts w:ascii="Arial" w:hAnsi="Arial" w:cs="Arial"/>
          <w:sz w:val="28"/>
          <w:szCs w:val="28"/>
        </w:rPr>
        <w:t>nien erlassen (zuletzt in der Fassung vom 31.07.2014).</w:t>
      </w:r>
      <w:r w:rsidR="00A30857">
        <w:rPr>
          <w:rFonts w:ascii="Arial" w:hAnsi="Arial" w:cs="Arial"/>
          <w:sz w:val="28"/>
          <w:szCs w:val="28"/>
        </w:rPr>
        <w:t xml:space="preserve"> Aktuelles Beispiel ist die gestern beantragte Überbrückungshilfe der Firma Condor.</w:t>
      </w:r>
    </w:p>
    <w:p w14:paraId="17EE9CE9" w14:textId="77777777" w:rsidR="00A30857" w:rsidRDefault="00A30857" w:rsidP="001B31A2">
      <w:pPr>
        <w:spacing w:line="360" w:lineRule="auto"/>
        <w:jc w:val="both"/>
        <w:rPr>
          <w:rFonts w:ascii="Arial" w:hAnsi="Arial" w:cs="Arial"/>
          <w:sz w:val="28"/>
          <w:szCs w:val="28"/>
        </w:rPr>
      </w:pPr>
    </w:p>
    <w:p w14:paraId="2524415F" w14:textId="74EDF80B" w:rsidR="008C3559" w:rsidRDefault="008C3559" w:rsidP="001B31A2">
      <w:pPr>
        <w:spacing w:line="360" w:lineRule="auto"/>
        <w:jc w:val="both"/>
        <w:rPr>
          <w:rFonts w:ascii="Arial" w:hAnsi="Arial" w:cs="Arial"/>
          <w:sz w:val="28"/>
          <w:szCs w:val="28"/>
        </w:rPr>
      </w:pPr>
      <w:r>
        <w:rPr>
          <w:rFonts w:ascii="Arial" w:hAnsi="Arial" w:cs="Arial"/>
          <w:sz w:val="28"/>
          <w:szCs w:val="28"/>
        </w:rPr>
        <w:t>Voraussetzungen für die Gewährung einer solchen Rettungs- oder Umstrukturierungsbeihilfe sind:</w:t>
      </w:r>
    </w:p>
    <w:p w14:paraId="6851B701" w14:textId="77777777" w:rsidR="008C3559" w:rsidRDefault="008C3559" w:rsidP="001B31A2">
      <w:pPr>
        <w:spacing w:line="360" w:lineRule="auto"/>
        <w:jc w:val="both"/>
        <w:rPr>
          <w:rFonts w:ascii="Arial" w:hAnsi="Arial" w:cs="Arial"/>
          <w:sz w:val="28"/>
          <w:szCs w:val="28"/>
        </w:rPr>
      </w:pPr>
    </w:p>
    <w:p w14:paraId="220C642C" w14:textId="077EEF31" w:rsidR="008C3559" w:rsidRPr="008C3559" w:rsidRDefault="008C3559" w:rsidP="008C3559">
      <w:pPr>
        <w:pStyle w:val="Listenabsatz"/>
        <w:numPr>
          <w:ilvl w:val="0"/>
          <w:numId w:val="11"/>
        </w:numPr>
        <w:spacing w:line="360" w:lineRule="auto"/>
        <w:jc w:val="both"/>
        <w:rPr>
          <w:rFonts w:ascii="Arial" w:hAnsi="Arial" w:cs="Arial"/>
          <w:b/>
          <w:sz w:val="28"/>
          <w:szCs w:val="28"/>
        </w:rPr>
      </w:pPr>
      <w:r w:rsidRPr="008C3559">
        <w:rPr>
          <w:rFonts w:ascii="Arial" w:hAnsi="Arial" w:cs="Arial"/>
          <w:b/>
          <w:sz w:val="28"/>
          <w:szCs w:val="28"/>
        </w:rPr>
        <w:t>Unternehmen in Schwierigkeiten</w:t>
      </w:r>
    </w:p>
    <w:p w14:paraId="142C09D9" w14:textId="445EC76C" w:rsidR="008C3559" w:rsidRDefault="005951D9" w:rsidP="008C3559">
      <w:pPr>
        <w:autoSpaceDE w:val="0"/>
        <w:autoSpaceDN w:val="0"/>
        <w:adjustRightInd w:val="0"/>
        <w:rPr>
          <w:rFonts w:ascii="Arial" w:hAnsi="Arial" w:cs="Arial"/>
          <w:color w:val="000000"/>
          <w:sz w:val="28"/>
          <w:szCs w:val="28"/>
        </w:rPr>
      </w:pPr>
      <w:r>
        <w:rPr>
          <w:rFonts w:ascii="Arial" w:hAnsi="Arial" w:cs="Arial"/>
          <w:color w:val="000000"/>
          <w:sz w:val="28"/>
          <w:szCs w:val="28"/>
        </w:rPr>
        <w:t xml:space="preserve">Es muss sich um ein Unternehmen in Schwierigkeiten </w:t>
      </w:r>
      <w:proofErr w:type="spellStart"/>
      <w:r w:rsidR="00A30857">
        <w:rPr>
          <w:rFonts w:ascii="Arial" w:hAnsi="Arial" w:cs="Arial"/>
          <w:color w:val="000000"/>
          <w:sz w:val="28"/>
          <w:szCs w:val="28"/>
        </w:rPr>
        <w:t>UiS</w:t>
      </w:r>
      <w:proofErr w:type="spellEnd"/>
      <w:r w:rsidR="00A30857">
        <w:rPr>
          <w:rFonts w:ascii="Arial" w:hAnsi="Arial" w:cs="Arial"/>
          <w:color w:val="000000"/>
          <w:sz w:val="28"/>
          <w:szCs w:val="28"/>
        </w:rPr>
        <w:t xml:space="preserve"> </w:t>
      </w:r>
      <w:r>
        <w:rPr>
          <w:rFonts w:ascii="Arial" w:hAnsi="Arial" w:cs="Arial"/>
          <w:color w:val="000000"/>
          <w:sz w:val="28"/>
          <w:szCs w:val="28"/>
        </w:rPr>
        <w:t>handeln.</w:t>
      </w:r>
    </w:p>
    <w:p w14:paraId="75CFB5D0" w14:textId="77777777" w:rsidR="005951D9" w:rsidRPr="008C3559" w:rsidRDefault="005951D9" w:rsidP="008C3559">
      <w:pPr>
        <w:autoSpaceDE w:val="0"/>
        <w:autoSpaceDN w:val="0"/>
        <w:adjustRightInd w:val="0"/>
        <w:rPr>
          <w:rFonts w:ascii="Arial" w:hAnsi="Arial" w:cs="Arial"/>
          <w:color w:val="000000"/>
          <w:sz w:val="28"/>
          <w:szCs w:val="28"/>
        </w:rPr>
      </w:pPr>
    </w:p>
    <w:tbl>
      <w:tblPr>
        <w:tblW w:w="9174" w:type="dxa"/>
        <w:tblBorders>
          <w:top w:val="nil"/>
          <w:left w:val="nil"/>
          <w:bottom w:val="nil"/>
          <w:right w:val="nil"/>
        </w:tblBorders>
        <w:tblLayout w:type="fixed"/>
        <w:tblLook w:val="0000" w:firstRow="0" w:lastRow="0" w:firstColumn="0" w:lastColumn="0" w:noHBand="0" w:noVBand="0"/>
      </w:tblPr>
      <w:tblGrid>
        <w:gridCol w:w="9174"/>
      </w:tblGrid>
      <w:tr w:rsidR="008C3559" w:rsidRPr="008C3559" w14:paraId="37F6F1FC" w14:textId="77777777" w:rsidTr="008C3559">
        <w:trPr>
          <w:trHeight w:val="2575"/>
        </w:trPr>
        <w:tc>
          <w:tcPr>
            <w:tcW w:w="9174" w:type="dxa"/>
          </w:tcPr>
          <w:p w14:paraId="788294C2" w14:textId="7AC5374D" w:rsidR="008C3559" w:rsidRDefault="008C3559" w:rsidP="005951D9">
            <w:pPr>
              <w:autoSpaceDE w:val="0"/>
              <w:autoSpaceDN w:val="0"/>
              <w:adjustRightInd w:val="0"/>
              <w:spacing w:line="360" w:lineRule="auto"/>
              <w:ind w:left="-105"/>
              <w:jc w:val="both"/>
              <w:rPr>
                <w:rFonts w:ascii="Arial" w:hAnsi="Arial" w:cs="Arial"/>
                <w:color w:val="000000"/>
                <w:sz w:val="28"/>
                <w:szCs w:val="28"/>
              </w:rPr>
            </w:pPr>
            <w:r w:rsidRPr="008C3559">
              <w:rPr>
                <w:rFonts w:ascii="Arial" w:hAnsi="Arial" w:cs="Arial"/>
                <w:color w:val="000000"/>
                <w:sz w:val="28"/>
                <w:szCs w:val="28"/>
              </w:rPr>
              <w:lastRenderedPageBreak/>
              <w:t xml:space="preserve">Ein Unternehmen gilt dann als </w:t>
            </w:r>
            <w:proofErr w:type="spellStart"/>
            <w:r w:rsidRPr="008C3559">
              <w:rPr>
                <w:rFonts w:ascii="Arial" w:hAnsi="Arial" w:cs="Arial"/>
                <w:color w:val="000000"/>
                <w:sz w:val="28"/>
                <w:szCs w:val="28"/>
              </w:rPr>
              <w:t>UiS</w:t>
            </w:r>
            <w:proofErr w:type="spellEnd"/>
            <w:r w:rsidRPr="008C3559">
              <w:rPr>
                <w:rFonts w:ascii="Arial" w:hAnsi="Arial" w:cs="Arial"/>
                <w:color w:val="000000"/>
                <w:sz w:val="28"/>
                <w:szCs w:val="28"/>
              </w:rPr>
              <w:t xml:space="preserve">, wenn es mindestens eine der </w:t>
            </w:r>
            <w:proofErr w:type="spellStart"/>
            <w:r w:rsidRPr="008C3559">
              <w:rPr>
                <w:rFonts w:ascii="Arial" w:hAnsi="Arial" w:cs="Arial"/>
                <w:color w:val="000000"/>
                <w:sz w:val="28"/>
                <w:szCs w:val="28"/>
              </w:rPr>
              <w:t>fol-genden</w:t>
            </w:r>
            <w:proofErr w:type="spellEnd"/>
            <w:r w:rsidRPr="008C3559">
              <w:rPr>
                <w:rFonts w:ascii="Arial" w:hAnsi="Arial" w:cs="Arial"/>
                <w:color w:val="000000"/>
                <w:sz w:val="28"/>
                <w:szCs w:val="28"/>
              </w:rPr>
              <w:t xml:space="preserve"> Voraussetzungen erfü</w:t>
            </w:r>
            <w:r w:rsidR="005951D9">
              <w:rPr>
                <w:rFonts w:ascii="Arial" w:hAnsi="Arial" w:cs="Arial"/>
                <w:color w:val="000000"/>
                <w:sz w:val="28"/>
                <w:szCs w:val="28"/>
              </w:rPr>
              <w:t>llt:</w:t>
            </w:r>
          </w:p>
          <w:p w14:paraId="49ECD4E1" w14:textId="77777777" w:rsidR="005951D9" w:rsidRPr="008C3559" w:rsidRDefault="005951D9" w:rsidP="005951D9">
            <w:pPr>
              <w:autoSpaceDE w:val="0"/>
              <w:autoSpaceDN w:val="0"/>
              <w:adjustRightInd w:val="0"/>
              <w:spacing w:line="360" w:lineRule="auto"/>
              <w:ind w:left="-105"/>
              <w:jc w:val="both"/>
              <w:rPr>
                <w:rFonts w:ascii="Arial" w:hAnsi="Arial" w:cs="Arial"/>
                <w:color w:val="000000"/>
                <w:sz w:val="28"/>
                <w:szCs w:val="28"/>
              </w:rPr>
            </w:pPr>
          </w:p>
          <w:p w14:paraId="4491C8E4" w14:textId="72B1D064" w:rsidR="008C3559" w:rsidRPr="008C355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a) Im Falle von </w:t>
            </w:r>
            <w:r w:rsidR="009903ED">
              <w:rPr>
                <w:rFonts w:ascii="Arial" w:hAnsi="Arial" w:cs="Arial"/>
                <w:color w:val="000000"/>
                <w:sz w:val="28"/>
                <w:szCs w:val="28"/>
              </w:rPr>
              <w:t>Kapitalgesellschaften</w:t>
            </w:r>
            <w:r w:rsidRPr="008C3559">
              <w:rPr>
                <w:rFonts w:ascii="Arial" w:hAnsi="Arial" w:cs="Arial"/>
                <w:color w:val="000000"/>
                <w:sz w:val="28"/>
                <w:szCs w:val="28"/>
              </w:rPr>
              <w:t>: Mehr als di</w:t>
            </w:r>
            <w:r w:rsidR="009903ED">
              <w:rPr>
                <w:rFonts w:ascii="Arial" w:hAnsi="Arial" w:cs="Arial"/>
                <w:color w:val="000000"/>
                <w:sz w:val="28"/>
                <w:szCs w:val="28"/>
              </w:rPr>
              <w:t>e Hälfte des gezeichneten Stamm</w:t>
            </w:r>
            <w:r w:rsidRPr="008C3559">
              <w:rPr>
                <w:rFonts w:ascii="Arial" w:hAnsi="Arial" w:cs="Arial"/>
                <w:color w:val="000000"/>
                <w:sz w:val="28"/>
                <w:szCs w:val="28"/>
              </w:rPr>
              <w:t xml:space="preserve">kapitals ist infolge aufgelaufener Verluste verlorengegangen. </w:t>
            </w:r>
          </w:p>
          <w:p w14:paraId="58C28566" w14:textId="77777777" w:rsidR="005951D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b) Im Falle von Gesellschaften, bei denen zumindest einige Gesell-</w:t>
            </w:r>
            <w:proofErr w:type="spellStart"/>
            <w:r w:rsidRPr="008C3559">
              <w:rPr>
                <w:rFonts w:ascii="Arial" w:hAnsi="Arial" w:cs="Arial"/>
                <w:color w:val="000000"/>
                <w:sz w:val="28"/>
                <w:szCs w:val="28"/>
              </w:rPr>
              <w:t>schafter</w:t>
            </w:r>
            <w:proofErr w:type="spellEnd"/>
            <w:r w:rsidRPr="008C3559">
              <w:rPr>
                <w:rFonts w:ascii="Arial" w:hAnsi="Arial" w:cs="Arial"/>
                <w:color w:val="000000"/>
                <w:sz w:val="28"/>
                <w:szCs w:val="28"/>
              </w:rPr>
              <w:t xml:space="preserve"> unbeschränkt haften: Mehr als die Hälfte der in den </w:t>
            </w:r>
            <w:proofErr w:type="spellStart"/>
            <w:r w:rsidRPr="008C3559">
              <w:rPr>
                <w:rFonts w:ascii="Arial" w:hAnsi="Arial" w:cs="Arial"/>
                <w:color w:val="000000"/>
                <w:sz w:val="28"/>
                <w:szCs w:val="28"/>
              </w:rPr>
              <w:t>Ge-schäftsbüchern</w:t>
            </w:r>
            <w:proofErr w:type="spellEnd"/>
            <w:r w:rsidRPr="008C3559">
              <w:rPr>
                <w:rFonts w:ascii="Arial" w:hAnsi="Arial" w:cs="Arial"/>
                <w:color w:val="000000"/>
                <w:sz w:val="28"/>
                <w:szCs w:val="28"/>
              </w:rPr>
              <w:t xml:space="preserve"> ausgewiesenen Eig</w:t>
            </w:r>
            <w:r>
              <w:rPr>
                <w:rFonts w:ascii="Arial" w:hAnsi="Arial" w:cs="Arial"/>
                <w:color w:val="000000"/>
                <w:sz w:val="28"/>
                <w:szCs w:val="28"/>
              </w:rPr>
              <w:t>enmittel ist infolge aufgelaufe</w:t>
            </w:r>
            <w:r w:rsidRPr="008C3559">
              <w:rPr>
                <w:rFonts w:ascii="Arial" w:hAnsi="Arial" w:cs="Arial"/>
                <w:color w:val="000000"/>
                <w:sz w:val="28"/>
                <w:szCs w:val="28"/>
              </w:rPr>
              <w:t>ner Verluste verlorengegangen.</w:t>
            </w:r>
          </w:p>
          <w:p w14:paraId="27D4BAC1" w14:textId="17790756" w:rsidR="008C3559" w:rsidRPr="008C3559" w:rsidRDefault="008C3559" w:rsidP="008C3559">
            <w:pPr>
              <w:autoSpaceDE w:val="0"/>
              <w:autoSpaceDN w:val="0"/>
              <w:adjustRightInd w:val="0"/>
              <w:spacing w:line="360" w:lineRule="auto"/>
              <w:jc w:val="both"/>
              <w:rPr>
                <w:rFonts w:ascii="Arial" w:hAnsi="Arial" w:cs="Arial"/>
                <w:color w:val="000000"/>
                <w:sz w:val="28"/>
                <w:szCs w:val="28"/>
              </w:rPr>
            </w:pPr>
          </w:p>
          <w:p w14:paraId="270D557B" w14:textId="09F64168" w:rsidR="008C355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c) Das Unternehmen befindet sich im Insolvenzverfahren bzw. erfüllt alle Voraussetzungen für die Eröffnung eines Insolvenzverfahrens. </w:t>
            </w:r>
          </w:p>
          <w:p w14:paraId="4737E103" w14:textId="77777777" w:rsidR="005951D9" w:rsidRPr="008C3559" w:rsidRDefault="005951D9" w:rsidP="008C3559">
            <w:pPr>
              <w:autoSpaceDE w:val="0"/>
              <w:autoSpaceDN w:val="0"/>
              <w:adjustRightInd w:val="0"/>
              <w:spacing w:line="360" w:lineRule="auto"/>
              <w:jc w:val="both"/>
              <w:rPr>
                <w:rFonts w:ascii="Arial" w:hAnsi="Arial" w:cs="Arial"/>
                <w:color w:val="000000"/>
                <w:sz w:val="28"/>
                <w:szCs w:val="28"/>
              </w:rPr>
            </w:pPr>
          </w:p>
          <w:p w14:paraId="45952195" w14:textId="77777777" w:rsidR="008C3559" w:rsidRPr="008C355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d) </w:t>
            </w:r>
            <w:r w:rsidRPr="008C3559">
              <w:rPr>
                <w:rFonts w:ascii="Arial" w:hAnsi="Arial" w:cs="Arial"/>
                <w:color w:val="000000"/>
                <w:sz w:val="28"/>
                <w:szCs w:val="28"/>
                <w:u w:val="single"/>
              </w:rPr>
              <w:t>Bei großen Unternehmen:</w:t>
            </w:r>
            <w:r w:rsidRPr="008C3559">
              <w:rPr>
                <w:rFonts w:ascii="Arial" w:hAnsi="Arial" w:cs="Arial"/>
                <w:color w:val="000000"/>
                <w:sz w:val="28"/>
                <w:szCs w:val="28"/>
              </w:rPr>
              <w:t xml:space="preserve"> Der buchwertbasierte Verschuldungsgrad lag in den vergangenen beiden Jahren über 7,5 und das Verhältnis des EBITDA zu den Zinsaufwendungen unter 1,0. </w:t>
            </w:r>
          </w:p>
          <w:p w14:paraId="05361910" w14:textId="77777777" w:rsidR="008C3559" w:rsidRPr="008C3559" w:rsidRDefault="008C3559" w:rsidP="008C3559">
            <w:pPr>
              <w:autoSpaceDE w:val="0"/>
              <w:autoSpaceDN w:val="0"/>
              <w:adjustRightInd w:val="0"/>
              <w:spacing w:line="360" w:lineRule="auto"/>
              <w:jc w:val="both"/>
              <w:rPr>
                <w:rFonts w:ascii="Arial" w:hAnsi="Arial" w:cs="Arial"/>
                <w:color w:val="000000"/>
                <w:sz w:val="28"/>
                <w:szCs w:val="28"/>
              </w:rPr>
            </w:pPr>
          </w:p>
          <w:p w14:paraId="076C3CAE" w14:textId="6635B62C" w:rsidR="008C3559" w:rsidRPr="008C355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Ein kleines oder mittleres Unternehmen (KMU) gilt in den ersten drei Jahren nach seiner Gründung nur dann als </w:t>
            </w:r>
            <w:proofErr w:type="spellStart"/>
            <w:r w:rsidRPr="008C3559">
              <w:rPr>
                <w:rFonts w:ascii="Arial" w:hAnsi="Arial" w:cs="Arial"/>
                <w:color w:val="000000"/>
                <w:sz w:val="28"/>
                <w:szCs w:val="28"/>
              </w:rPr>
              <w:t>UiS</w:t>
            </w:r>
            <w:proofErr w:type="spellEnd"/>
            <w:r w:rsidRPr="008C3559">
              <w:rPr>
                <w:rFonts w:ascii="Arial" w:hAnsi="Arial" w:cs="Arial"/>
                <w:color w:val="000000"/>
                <w:sz w:val="28"/>
                <w:szCs w:val="28"/>
              </w:rPr>
              <w:t xml:space="preserve">, wenn es Gegenstand eines Insolvenzverfahrens ist bzw. alle Voraussetzungen für die </w:t>
            </w:r>
            <w:proofErr w:type="spellStart"/>
            <w:r w:rsidRPr="008C3559">
              <w:rPr>
                <w:rFonts w:ascii="Arial" w:hAnsi="Arial" w:cs="Arial"/>
                <w:color w:val="000000"/>
                <w:sz w:val="28"/>
                <w:szCs w:val="28"/>
              </w:rPr>
              <w:t>Eröff-nung</w:t>
            </w:r>
            <w:proofErr w:type="spellEnd"/>
            <w:r w:rsidRPr="008C3559">
              <w:rPr>
                <w:rFonts w:ascii="Arial" w:hAnsi="Arial" w:cs="Arial"/>
                <w:color w:val="000000"/>
                <w:sz w:val="28"/>
                <w:szCs w:val="28"/>
              </w:rPr>
              <w:t xml:space="preserve"> eines Insolvenzverfahrens erfüllt sind. </w:t>
            </w:r>
            <w:r w:rsidR="005951D9">
              <w:rPr>
                <w:rStyle w:val="e24kjd"/>
                <w:rFonts w:ascii="Arial" w:hAnsi="Arial" w:cs="Arial"/>
                <w:sz w:val="28"/>
                <w:szCs w:val="28"/>
              </w:rPr>
              <w:t>Nach noch geltender EU-Defin</w:t>
            </w:r>
            <w:r w:rsidR="009903ED">
              <w:rPr>
                <w:rStyle w:val="e24kjd"/>
                <w:rFonts w:ascii="Arial" w:hAnsi="Arial" w:cs="Arial"/>
                <w:sz w:val="28"/>
                <w:szCs w:val="28"/>
              </w:rPr>
              <w:t>i</w:t>
            </w:r>
            <w:r w:rsidR="005951D9">
              <w:rPr>
                <w:rStyle w:val="e24kjd"/>
                <w:rFonts w:ascii="Arial" w:hAnsi="Arial" w:cs="Arial"/>
                <w:sz w:val="28"/>
                <w:szCs w:val="28"/>
              </w:rPr>
              <w:t>tion</w:t>
            </w:r>
            <w:r w:rsidR="005951D9" w:rsidRPr="009A5021">
              <w:rPr>
                <w:rStyle w:val="e24kjd"/>
                <w:rFonts w:ascii="Arial" w:hAnsi="Arial" w:cs="Arial"/>
                <w:sz w:val="28"/>
                <w:szCs w:val="28"/>
              </w:rPr>
              <w:t xml:space="preserve"> zählt ein </w:t>
            </w:r>
            <w:r w:rsidR="005951D9" w:rsidRPr="009A5021">
              <w:rPr>
                <w:rStyle w:val="e24kjd"/>
                <w:rFonts w:ascii="Arial" w:hAnsi="Arial" w:cs="Arial"/>
                <w:b/>
                <w:bCs/>
                <w:sz w:val="28"/>
                <w:szCs w:val="28"/>
              </w:rPr>
              <w:t>Unternehmen</w:t>
            </w:r>
            <w:r w:rsidR="005951D9" w:rsidRPr="009A5021">
              <w:rPr>
                <w:rStyle w:val="e24kjd"/>
                <w:rFonts w:ascii="Arial" w:hAnsi="Arial" w:cs="Arial"/>
                <w:sz w:val="28"/>
                <w:szCs w:val="28"/>
              </w:rPr>
              <w:t xml:space="preserve"> zu den </w:t>
            </w:r>
            <w:r w:rsidR="005951D9" w:rsidRPr="009A5021">
              <w:rPr>
                <w:rStyle w:val="e24kjd"/>
                <w:rFonts w:ascii="Arial" w:hAnsi="Arial" w:cs="Arial"/>
                <w:b/>
                <w:bCs/>
                <w:sz w:val="28"/>
                <w:szCs w:val="28"/>
              </w:rPr>
              <w:t>KMU</w:t>
            </w:r>
            <w:r w:rsidR="005951D9" w:rsidRPr="009A5021">
              <w:rPr>
                <w:rStyle w:val="e24kjd"/>
                <w:rFonts w:ascii="Arial" w:hAnsi="Arial" w:cs="Arial"/>
                <w:sz w:val="28"/>
                <w:szCs w:val="28"/>
              </w:rPr>
              <w:t>, wenn es nicht mehr als 249 Beschäftigte hat und einen Jahresumsatz von höchstens 50 Millionen € erwirtschaftet oder eine Bilanzsumme von maximal 43 Millionen € aufweist.</w:t>
            </w:r>
            <w:r w:rsidR="005951D9">
              <w:rPr>
                <w:rStyle w:val="e24kjd"/>
                <w:rFonts w:ascii="Arial" w:hAnsi="Arial" w:cs="Arial"/>
                <w:sz w:val="28"/>
                <w:szCs w:val="28"/>
              </w:rPr>
              <w:t xml:space="preserve"> Diese Definition wird derzeit überprüft</w:t>
            </w:r>
          </w:p>
          <w:p w14:paraId="14E5AF36" w14:textId="77777777" w:rsidR="008C3559" w:rsidRDefault="008C3559" w:rsidP="008C3559">
            <w:pPr>
              <w:autoSpaceDE w:val="0"/>
              <w:autoSpaceDN w:val="0"/>
              <w:adjustRightInd w:val="0"/>
              <w:spacing w:line="360" w:lineRule="auto"/>
              <w:jc w:val="both"/>
              <w:rPr>
                <w:rFonts w:ascii="Univers" w:hAnsi="Univers" w:cs="Univers"/>
                <w:color w:val="000000"/>
                <w:sz w:val="16"/>
                <w:szCs w:val="16"/>
              </w:rPr>
            </w:pPr>
          </w:p>
          <w:p w14:paraId="50641B63" w14:textId="22DE23C8" w:rsidR="008C3559" w:rsidRDefault="008C3559" w:rsidP="008C3559">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Rettungsbeihilfen können auch Unternehmen gewährt werden, die keine </w:t>
            </w:r>
            <w:proofErr w:type="spellStart"/>
            <w:r w:rsidRPr="008C3559">
              <w:rPr>
                <w:rFonts w:ascii="Arial" w:hAnsi="Arial" w:cs="Arial"/>
                <w:color w:val="000000"/>
                <w:sz w:val="28"/>
                <w:szCs w:val="28"/>
              </w:rPr>
              <w:t>UiS</w:t>
            </w:r>
            <w:proofErr w:type="spellEnd"/>
            <w:r w:rsidRPr="008C3559">
              <w:rPr>
                <w:rFonts w:ascii="Arial" w:hAnsi="Arial" w:cs="Arial"/>
                <w:color w:val="000000"/>
                <w:sz w:val="28"/>
                <w:szCs w:val="28"/>
              </w:rPr>
              <w:t xml:space="preserve"> im Sinne der Definition </w:t>
            </w:r>
            <w:r>
              <w:rPr>
                <w:rFonts w:ascii="Arial" w:hAnsi="Arial" w:cs="Arial"/>
                <w:color w:val="000000"/>
                <w:sz w:val="28"/>
                <w:szCs w:val="28"/>
              </w:rPr>
              <w:t>sind, die jedoch aufgrund außer</w:t>
            </w:r>
            <w:r w:rsidRPr="008C3559">
              <w:rPr>
                <w:rFonts w:ascii="Arial" w:hAnsi="Arial" w:cs="Arial"/>
                <w:color w:val="000000"/>
                <w:sz w:val="28"/>
                <w:szCs w:val="28"/>
              </w:rPr>
              <w:t xml:space="preserve">gewöhnlicher </w:t>
            </w:r>
            <w:r w:rsidRPr="008C3559">
              <w:rPr>
                <w:rFonts w:ascii="Arial" w:hAnsi="Arial" w:cs="Arial"/>
                <w:color w:val="000000"/>
                <w:sz w:val="28"/>
                <w:szCs w:val="28"/>
              </w:rPr>
              <w:lastRenderedPageBreak/>
              <w:t>und unvorhersehbarer Umstände mit einem akuten Liqui</w:t>
            </w:r>
            <w:r w:rsidR="009903ED">
              <w:rPr>
                <w:rFonts w:ascii="Arial" w:hAnsi="Arial" w:cs="Arial"/>
                <w:color w:val="000000"/>
                <w:sz w:val="28"/>
                <w:szCs w:val="28"/>
              </w:rPr>
              <w:t>ditätsbedarf konfrontiert sind.</w:t>
            </w:r>
          </w:p>
          <w:p w14:paraId="3F0F7C75" w14:textId="77777777" w:rsidR="009903ED" w:rsidRDefault="009903ED" w:rsidP="008C3559">
            <w:pPr>
              <w:autoSpaceDE w:val="0"/>
              <w:autoSpaceDN w:val="0"/>
              <w:adjustRightInd w:val="0"/>
              <w:spacing w:line="360" w:lineRule="auto"/>
              <w:jc w:val="both"/>
              <w:rPr>
                <w:rFonts w:ascii="Arial" w:hAnsi="Arial" w:cs="Arial"/>
                <w:color w:val="000000"/>
                <w:sz w:val="28"/>
                <w:szCs w:val="28"/>
              </w:rPr>
            </w:pPr>
          </w:p>
          <w:p w14:paraId="1234531A" w14:textId="77777777" w:rsidR="009903ED" w:rsidRPr="009A5021" w:rsidRDefault="009903ED" w:rsidP="009903ED">
            <w:pPr>
              <w:pStyle w:val="Listenabsatz"/>
              <w:numPr>
                <w:ilvl w:val="0"/>
                <w:numId w:val="11"/>
              </w:numPr>
              <w:autoSpaceDE w:val="0"/>
              <w:autoSpaceDN w:val="0"/>
              <w:adjustRightInd w:val="0"/>
              <w:spacing w:line="360" w:lineRule="auto"/>
              <w:jc w:val="both"/>
              <w:rPr>
                <w:rFonts w:ascii="Arial" w:hAnsi="Arial" w:cs="Arial"/>
                <w:b/>
                <w:color w:val="000000"/>
                <w:sz w:val="28"/>
                <w:szCs w:val="28"/>
              </w:rPr>
            </w:pPr>
            <w:r w:rsidRPr="009A5021">
              <w:rPr>
                <w:rFonts w:ascii="Arial" w:hAnsi="Arial" w:cs="Arial"/>
                <w:b/>
                <w:color w:val="000000"/>
                <w:sz w:val="28"/>
                <w:szCs w:val="28"/>
              </w:rPr>
              <w:t xml:space="preserve">Rettungsbeihilfen: </w:t>
            </w:r>
          </w:p>
          <w:p w14:paraId="1713EE13" w14:textId="77777777" w:rsidR="009903ED" w:rsidRPr="00F52353" w:rsidRDefault="009903ED" w:rsidP="009903ED">
            <w:pPr>
              <w:autoSpaceDE w:val="0"/>
              <w:autoSpaceDN w:val="0"/>
              <w:adjustRightInd w:val="0"/>
              <w:spacing w:line="360" w:lineRule="auto"/>
              <w:jc w:val="both"/>
              <w:rPr>
                <w:rFonts w:ascii="Arial" w:hAnsi="Arial" w:cs="Arial"/>
                <w:color w:val="000000"/>
                <w:sz w:val="28"/>
                <w:szCs w:val="28"/>
              </w:rPr>
            </w:pPr>
          </w:p>
          <w:p w14:paraId="72A11F5F" w14:textId="28CB093D" w:rsidR="009903ED" w:rsidRDefault="009903ED" w:rsidP="009903ED">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Rettungsbeihilfen stellen dringende vorübergehend</w:t>
            </w:r>
            <w:r w:rsidRPr="00F52353">
              <w:rPr>
                <w:rFonts w:ascii="Arial" w:hAnsi="Arial" w:cs="Arial"/>
                <w:color w:val="000000"/>
                <w:sz w:val="28"/>
                <w:szCs w:val="28"/>
              </w:rPr>
              <w:t xml:space="preserve">e </w:t>
            </w:r>
            <w:proofErr w:type="spellStart"/>
            <w:r w:rsidRPr="00F52353">
              <w:rPr>
                <w:rFonts w:ascii="Arial" w:hAnsi="Arial" w:cs="Arial"/>
                <w:color w:val="000000"/>
                <w:sz w:val="28"/>
                <w:szCs w:val="28"/>
              </w:rPr>
              <w:t>Unterstüt-zungsmaßnahmen</w:t>
            </w:r>
            <w:proofErr w:type="spellEnd"/>
            <w:r w:rsidRPr="00F52353">
              <w:rPr>
                <w:rFonts w:ascii="Arial" w:hAnsi="Arial" w:cs="Arial"/>
                <w:color w:val="000000"/>
                <w:sz w:val="28"/>
                <w:szCs w:val="28"/>
              </w:rPr>
              <w:t xml:space="preserve"> dar, welche </w:t>
            </w:r>
            <w:r w:rsidRPr="008C3559">
              <w:rPr>
                <w:rFonts w:ascii="Arial" w:hAnsi="Arial" w:cs="Arial"/>
                <w:color w:val="000000"/>
                <w:sz w:val="28"/>
                <w:szCs w:val="28"/>
              </w:rPr>
              <w:t>nur in F</w:t>
            </w:r>
            <w:r w:rsidRPr="00F52353">
              <w:rPr>
                <w:rFonts w:ascii="Arial" w:hAnsi="Arial" w:cs="Arial"/>
                <w:color w:val="000000"/>
                <w:sz w:val="28"/>
                <w:szCs w:val="28"/>
              </w:rPr>
              <w:t>orm von Darlehen oder Darlehensbürgschaften gewährt werden dürfen und</w:t>
            </w:r>
            <w:r w:rsidRPr="008C3559">
              <w:rPr>
                <w:rFonts w:ascii="Arial" w:hAnsi="Arial" w:cs="Arial"/>
                <w:color w:val="000000"/>
                <w:sz w:val="28"/>
                <w:szCs w:val="28"/>
              </w:rPr>
              <w:t xml:space="preserve"> grundsä</w:t>
            </w:r>
            <w:r w:rsidRPr="00F52353">
              <w:rPr>
                <w:rFonts w:ascii="Arial" w:hAnsi="Arial" w:cs="Arial"/>
                <w:color w:val="000000"/>
                <w:sz w:val="28"/>
                <w:szCs w:val="28"/>
              </w:rPr>
              <w:t>tzlich innerhalb von sechs Mona</w:t>
            </w:r>
            <w:r w:rsidRPr="008C3559">
              <w:rPr>
                <w:rFonts w:ascii="Arial" w:hAnsi="Arial" w:cs="Arial"/>
                <w:color w:val="000000"/>
                <w:sz w:val="28"/>
                <w:szCs w:val="28"/>
              </w:rPr>
              <w:t>ten zurückgezahlt werden bzw. auslaufen</w:t>
            </w:r>
            <w:r w:rsidRPr="00F52353">
              <w:rPr>
                <w:rFonts w:ascii="Arial" w:hAnsi="Arial" w:cs="Arial"/>
                <w:color w:val="000000"/>
                <w:sz w:val="28"/>
                <w:szCs w:val="28"/>
              </w:rPr>
              <w:t xml:space="preserve"> müssen</w:t>
            </w:r>
            <w:r w:rsidRPr="008C3559">
              <w:rPr>
                <w:rFonts w:ascii="Arial" w:hAnsi="Arial" w:cs="Arial"/>
                <w:color w:val="000000"/>
                <w:sz w:val="28"/>
                <w:szCs w:val="28"/>
              </w:rPr>
              <w:t>. Bei Vorlag</w:t>
            </w:r>
            <w:r w:rsidRPr="00F52353">
              <w:rPr>
                <w:rFonts w:ascii="Arial" w:hAnsi="Arial" w:cs="Arial"/>
                <w:color w:val="000000"/>
                <w:sz w:val="28"/>
                <w:szCs w:val="28"/>
              </w:rPr>
              <w:t>e eines Um</w:t>
            </w:r>
            <w:r w:rsidRPr="008C3559">
              <w:rPr>
                <w:rFonts w:ascii="Arial" w:hAnsi="Arial" w:cs="Arial"/>
                <w:color w:val="000000"/>
                <w:sz w:val="28"/>
                <w:szCs w:val="28"/>
              </w:rPr>
              <w:t>strukturierungsplans verlängert sich diese Frist automatisch bis zum endgültigen Beschluss der EU-K</w:t>
            </w:r>
            <w:r w:rsidRPr="00F52353">
              <w:rPr>
                <w:rFonts w:ascii="Arial" w:hAnsi="Arial" w:cs="Arial"/>
                <w:color w:val="000000"/>
                <w:sz w:val="28"/>
                <w:szCs w:val="28"/>
              </w:rPr>
              <w:t>ommission über den Umstrukturie</w:t>
            </w:r>
            <w:r w:rsidRPr="008C3559">
              <w:rPr>
                <w:rFonts w:ascii="Arial" w:hAnsi="Arial" w:cs="Arial"/>
                <w:color w:val="000000"/>
                <w:sz w:val="28"/>
                <w:szCs w:val="28"/>
              </w:rPr>
              <w:t xml:space="preserve">rungsplan. Im Falle einer Abwicklung muss gegenüber der EU-Kommission wiederum in einem Abwicklungsplan dargelegt </w:t>
            </w:r>
            <w:r w:rsidRPr="00F52353">
              <w:rPr>
                <w:rFonts w:ascii="Arial" w:hAnsi="Arial" w:cs="Arial"/>
                <w:color w:val="000000"/>
                <w:sz w:val="28"/>
                <w:szCs w:val="28"/>
              </w:rPr>
              <w:t>und be</w:t>
            </w:r>
            <w:r w:rsidRPr="008C3559">
              <w:rPr>
                <w:rFonts w:ascii="Arial" w:hAnsi="Arial" w:cs="Arial"/>
                <w:color w:val="000000"/>
                <w:sz w:val="28"/>
                <w:szCs w:val="28"/>
              </w:rPr>
              <w:t xml:space="preserve">gründet werden, wie die Abwicklung ohne weitere Beihilfen erreicht werden soll. </w:t>
            </w:r>
          </w:p>
          <w:p w14:paraId="102E3EA8" w14:textId="77777777" w:rsidR="009903ED" w:rsidRPr="008C3559" w:rsidRDefault="009903ED" w:rsidP="009903ED">
            <w:pPr>
              <w:autoSpaceDE w:val="0"/>
              <w:autoSpaceDN w:val="0"/>
              <w:adjustRightInd w:val="0"/>
              <w:spacing w:line="360" w:lineRule="auto"/>
              <w:jc w:val="both"/>
              <w:rPr>
                <w:rFonts w:ascii="Arial" w:hAnsi="Arial" w:cs="Arial"/>
                <w:color w:val="000000"/>
                <w:sz w:val="28"/>
                <w:szCs w:val="28"/>
              </w:rPr>
            </w:pPr>
          </w:p>
          <w:p w14:paraId="5B210509" w14:textId="5CF4B9D2" w:rsidR="009903ED" w:rsidRPr="009903ED" w:rsidRDefault="009903ED" w:rsidP="009903ED">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Rettungsbeihilfen dürfen grundsätzlich nicht für die Finanzierung struktureller Maßnahmen verwendet werden. </w:t>
            </w:r>
          </w:p>
        </w:tc>
      </w:tr>
      <w:tr w:rsidR="008C3559" w:rsidRPr="008C3559" w14:paraId="71D964DB" w14:textId="77777777" w:rsidTr="008C3559">
        <w:trPr>
          <w:trHeight w:val="2575"/>
        </w:trPr>
        <w:tc>
          <w:tcPr>
            <w:tcW w:w="9174" w:type="dxa"/>
            <w:tcBorders>
              <w:left w:val="nil"/>
              <w:bottom w:val="nil"/>
              <w:right w:val="nil"/>
            </w:tcBorders>
          </w:tcPr>
          <w:p w14:paraId="67A41D34" w14:textId="77777777" w:rsidR="008C3559" w:rsidRPr="00F52353" w:rsidRDefault="008C3559" w:rsidP="00F52353">
            <w:pPr>
              <w:autoSpaceDE w:val="0"/>
              <w:autoSpaceDN w:val="0"/>
              <w:adjustRightInd w:val="0"/>
              <w:spacing w:line="360" w:lineRule="auto"/>
              <w:jc w:val="both"/>
              <w:rPr>
                <w:rFonts w:ascii="Arial" w:hAnsi="Arial" w:cs="Arial"/>
                <w:color w:val="000000"/>
                <w:sz w:val="28"/>
                <w:szCs w:val="28"/>
              </w:rPr>
            </w:pPr>
          </w:p>
          <w:p w14:paraId="145AFE78" w14:textId="77777777" w:rsidR="008C3559" w:rsidRPr="00F52353" w:rsidRDefault="008C3559" w:rsidP="00F52353">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Für eine Rettungsbeihilfe muss ein Unternehmen eine Vergütung zahlen, die nicht unter dem Referenzzinssatz liegen darf, der in der Referenzzinssatzmitteilung für schwache Unternehmen bei einer normalen Besicherung festgelegt ist (aktueller Basissatz + 400 </w:t>
            </w:r>
            <w:proofErr w:type="spellStart"/>
            <w:r w:rsidRPr="008C3559">
              <w:rPr>
                <w:rFonts w:ascii="Arial" w:hAnsi="Arial" w:cs="Arial"/>
                <w:color w:val="000000"/>
                <w:sz w:val="28"/>
                <w:szCs w:val="28"/>
              </w:rPr>
              <w:t>Ba-sispunkte</w:t>
            </w:r>
            <w:proofErr w:type="spellEnd"/>
            <w:r w:rsidRPr="008C3559">
              <w:rPr>
                <w:rFonts w:ascii="Arial" w:hAnsi="Arial" w:cs="Arial"/>
                <w:color w:val="000000"/>
                <w:sz w:val="28"/>
                <w:szCs w:val="28"/>
              </w:rPr>
              <w:t>). Im Falle einer Verlängerung der Rettungsbeihilfe über sechs Monate hinaus kommt noch</w:t>
            </w:r>
            <w:r w:rsidRPr="00F52353">
              <w:rPr>
                <w:rFonts w:ascii="Arial" w:hAnsi="Arial" w:cs="Arial"/>
                <w:color w:val="000000"/>
                <w:sz w:val="28"/>
                <w:szCs w:val="28"/>
              </w:rPr>
              <w:t xml:space="preserve"> ein Aufschlag von 50 Basispunk</w:t>
            </w:r>
            <w:r w:rsidRPr="008C3559">
              <w:rPr>
                <w:rFonts w:ascii="Arial" w:hAnsi="Arial" w:cs="Arial"/>
                <w:color w:val="000000"/>
                <w:sz w:val="28"/>
                <w:szCs w:val="28"/>
              </w:rPr>
              <w:t xml:space="preserve">ten hinzu. </w:t>
            </w:r>
          </w:p>
          <w:p w14:paraId="75DA2A84" w14:textId="77777777" w:rsidR="008C3559" w:rsidRPr="00F52353" w:rsidRDefault="008C3559" w:rsidP="00F52353">
            <w:pPr>
              <w:autoSpaceDE w:val="0"/>
              <w:autoSpaceDN w:val="0"/>
              <w:adjustRightInd w:val="0"/>
              <w:spacing w:line="360" w:lineRule="auto"/>
              <w:jc w:val="both"/>
              <w:rPr>
                <w:rFonts w:ascii="Arial" w:hAnsi="Arial" w:cs="Arial"/>
                <w:color w:val="000000"/>
                <w:sz w:val="28"/>
                <w:szCs w:val="28"/>
              </w:rPr>
            </w:pPr>
          </w:p>
          <w:p w14:paraId="7403366C" w14:textId="611BD349" w:rsidR="008C3559" w:rsidRPr="00F52353" w:rsidRDefault="008C3559" w:rsidP="00F52353">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 xml:space="preserve">Rettungsbeihilfen müssen auf den </w:t>
            </w:r>
            <w:r w:rsidRPr="00F52353">
              <w:rPr>
                <w:rFonts w:ascii="Arial" w:hAnsi="Arial" w:cs="Arial"/>
                <w:color w:val="000000"/>
                <w:sz w:val="28"/>
                <w:szCs w:val="28"/>
              </w:rPr>
              <w:t>Betrag begrenzt sein, der erfor</w:t>
            </w:r>
            <w:r w:rsidRPr="008C3559">
              <w:rPr>
                <w:rFonts w:ascii="Arial" w:hAnsi="Arial" w:cs="Arial"/>
                <w:color w:val="000000"/>
                <w:sz w:val="28"/>
                <w:szCs w:val="28"/>
              </w:rPr>
              <w:t>derlich ist, um das Unternehme</w:t>
            </w:r>
            <w:r w:rsidRPr="00F52353">
              <w:rPr>
                <w:rFonts w:ascii="Arial" w:hAnsi="Arial" w:cs="Arial"/>
                <w:color w:val="000000"/>
                <w:sz w:val="28"/>
                <w:szCs w:val="28"/>
              </w:rPr>
              <w:t>n sechs Monate lang weiterzufüh</w:t>
            </w:r>
            <w:r w:rsidRPr="008C3559">
              <w:rPr>
                <w:rFonts w:ascii="Arial" w:hAnsi="Arial" w:cs="Arial"/>
                <w:color w:val="000000"/>
                <w:sz w:val="28"/>
                <w:szCs w:val="28"/>
              </w:rPr>
              <w:t xml:space="preserve">ren. </w:t>
            </w:r>
          </w:p>
          <w:p w14:paraId="79D58248" w14:textId="2E821CBA" w:rsidR="005951D9" w:rsidRDefault="005951D9" w:rsidP="00F52353">
            <w:pPr>
              <w:autoSpaceDE w:val="0"/>
              <w:autoSpaceDN w:val="0"/>
              <w:adjustRightInd w:val="0"/>
              <w:spacing w:line="360" w:lineRule="auto"/>
              <w:jc w:val="both"/>
              <w:rPr>
                <w:rFonts w:ascii="Arial" w:hAnsi="Arial" w:cs="Arial"/>
                <w:color w:val="000000"/>
                <w:sz w:val="28"/>
                <w:szCs w:val="28"/>
              </w:rPr>
            </w:pPr>
          </w:p>
          <w:p w14:paraId="5094DC6B" w14:textId="77777777" w:rsidR="00A30857" w:rsidRPr="008C3559" w:rsidRDefault="00A30857" w:rsidP="00F52353">
            <w:pPr>
              <w:autoSpaceDE w:val="0"/>
              <w:autoSpaceDN w:val="0"/>
              <w:adjustRightInd w:val="0"/>
              <w:spacing w:line="360" w:lineRule="auto"/>
              <w:jc w:val="both"/>
              <w:rPr>
                <w:rFonts w:ascii="Arial" w:hAnsi="Arial" w:cs="Arial"/>
                <w:color w:val="000000"/>
                <w:sz w:val="28"/>
                <w:szCs w:val="28"/>
              </w:rPr>
            </w:pPr>
          </w:p>
          <w:p w14:paraId="1AC74F8A" w14:textId="3B72CE60" w:rsidR="008C3559" w:rsidRPr="00F52353" w:rsidRDefault="008C3559" w:rsidP="00F52353">
            <w:pPr>
              <w:pStyle w:val="Listenabsatz"/>
              <w:numPr>
                <w:ilvl w:val="0"/>
                <w:numId w:val="11"/>
              </w:numPr>
              <w:autoSpaceDE w:val="0"/>
              <w:autoSpaceDN w:val="0"/>
              <w:adjustRightInd w:val="0"/>
              <w:spacing w:line="360" w:lineRule="auto"/>
              <w:jc w:val="both"/>
              <w:rPr>
                <w:rFonts w:ascii="Arial" w:hAnsi="Arial" w:cs="Arial"/>
                <w:b/>
                <w:color w:val="000000"/>
                <w:sz w:val="28"/>
                <w:szCs w:val="28"/>
              </w:rPr>
            </w:pPr>
            <w:r w:rsidRPr="00F52353">
              <w:rPr>
                <w:rFonts w:ascii="Arial" w:hAnsi="Arial" w:cs="Arial"/>
                <w:b/>
                <w:color w:val="000000"/>
                <w:sz w:val="28"/>
                <w:szCs w:val="28"/>
              </w:rPr>
              <w:t xml:space="preserve">Umstrukturierungsbeihilfen: </w:t>
            </w:r>
          </w:p>
          <w:p w14:paraId="3E64042E" w14:textId="77777777" w:rsidR="008C3559" w:rsidRPr="00F52353" w:rsidRDefault="008C3559" w:rsidP="00F52353">
            <w:pPr>
              <w:autoSpaceDE w:val="0"/>
              <w:autoSpaceDN w:val="0"/>
              <w:adjustRightInd w:val="0"/>
              <w:spacing w:line="360" w:lineRule="auto"/>
              <w:jc w:val="both"/>
              <w:rPr>
                <w:rFonts w:ascii="Arial" w:hAnsi="Arial" w:cs="Arial"/>
                <w:color w:val="000000"/>
                <w:sz w:val="28"/>
                <w:szCs w:val="28"/>
              </w:rPr>
            </w:pPr>
          </w:p>
          <w:p w14:paraId="6B431595" w14:textId="25B4D960" w:rsidR="008C3559" w:rsidRPr="00F52353" w:rsidRDefault="008C3559" w:rsidP="00F52353">
            <w:pPr>
              <w:autoSpaceDE w:val="0"/>
              <w:autoSpaceDN w:val="0"/>
              <w:adjustRightInd w:val="0"/>
              <w:spacing w:line="360" w:lineRule="auto"/>
              <w:jc w:val="both"/>
              <w:rPr>
                <w:rFonts w:ascii="Arial" w:hAnsi="Arial" w:cs="Arial"/>
                <w:color w:val="000000"/>
                <w:sz w:val="28"/>
                <w:szCs w:val="28"/>
              </w:rPr>
            </w:pPr>
            <w:r w:rsidRPr="008C3559">
              <w:rPr>
                <w:rFonts w:ascii="Arial" w:hAnsi="Arial" w:cs="Arial"/>
                <w:color w:val="000000"/>
                <w:sz w:val="28"/>
                <w:szCs w:val="28"/>
              </w:rPr>
              <w:t>Umstrukturierungsbeihilfen beinhalten häufig eine dauerhafte Unter-stützung und dienen der Wiederhers</w:t>
            </w:r>
            <w:r w:rsidRPr="00F52353">
              <w:rPr>
                <w:rFonts w:ascii="Arial" w:hAnsi="Arial" w:cs="Arial"/>
                <w:color w:val="000000"/>
                <w:sz w:val="28"/>
                <w:szCs w:val="28"/>
              </w:rPr>
              <w:t>tellung der langfristigen Renta</w:t>
            </w:r>
            <w:r w:rsidRPr="008C3559">
              <w:rPr>
                <w:rFonts w:ascii="Arial" w:hAnsi="Arial" w:cs="Arial"/>
                <w:color w:val="000000"/>
                <w:sz w:val="28"/>
                <w:szCs w:val="28"/>
              </w:rPr>
              <w:t>bilität des begünstigten Unternehm</w:t>
            </w:r>
            <w:r w:rsidRPr="00F52353">
              <w:rPr>
                <w:rFonts w:ascii="Arial" w:hAnsi="Arial" w:cs="Arial"/>
                <w:color w:val="000000"/>
                <w:sz w:val="28"/>
                <w:szCs w:val="28"/>
              </w:rPr>
              <w:t>ens auf der Grundlage eines rea</w:t>
            </w:r>
            <w:r w:rsidRPr="008C3559">
              <w:rPr>
                <w:rFonts w:ascii="Arial" w:hAnsi="Arial" w:cs="Arial"/>
                <w:color w:val="000000"/>
                <w:sz w:val="28"/>
                <w:szCs w:val="28"/>
              </w:rPr>
              <w:t>listischen, kohärenten und weitrei</w:t>
            </w:r>
            <w:r w:rsidRPr="00F52353">
              <w:rPr>
                <w:rFonts w:ascii="Arial" w:hAnsi="Arial" w:cs="Arial"/>
                <w:color w:val="000000"/>
                <w:sz w:val="28"/>
                <w:szCs w:val="28"/>
              </w:rPr>
              <w:t>chenden Umstrukturierungsplans.</w:t>
            </w:r>
          </w:p>
          <w:p w14:paraId="26040DD2" w14:textId="77777777" w:rsidR="008C3559" w:rsidRPr="008C3559" w:rsidRDefault="008C3559" w:rsidP="00F52353">
            <w:pPr>
              <w:autoSpaceDE w:val="0"/>
              <w:autoSpaceDN w:val="0"/>
              <w:adjustRightInd w:val="0"/>
              <w:spacing w:line="360" w:lineRule="auto"/>
              <w:jc w:val="both"/>
              <w:rPr>
                <w:rFonts w:ascii="Arial" w:hAnsi="Arial" w:cs="Arial"/>
                <w:color w:val="000000"/>
                <w:sz w:val="28"/>
                <w:szCs w:val="28"/>
              </w:rPr>
            </w:pPr>
          </w:p>
          <w:p w14:paraId="75543FBE" w14:textId="0938A0CE" w:rsidR="008C3559" w:rsidRPr="008C3559" w:rsidRDefault="008C3559" w:rsidP="00F52353">
            <w:pPr>
              <w:autoSpaceDE w:val="0"/>
              <w:autoSpaceDN w:val="0"/>
              <w:adjustRightInd w:val="0"/>
              <w:spacing w:line="360" w:lineRule="auto"/>
              <w:jc w:val="both"/>
              <w:rPr>
                <w:rFonts w:ascii="Arial" w:hAnsi="Arial" w:cs="Arial"/>
                <w:color w:val="000000"/>
                <w:sz w:val="28"/>
                <w:szCs w:val="28"/>
              </w:rPr>
            </w:pPr>
            <w:r w:rsidRPr="008C3559">
              <w:rPr>
                <w:rFonts w:ascii="Arial" w:hAnsi="Arial" w:cs="Arial"/>
                <w:b/>
                <w:color w:val="000000"/>
                <w:sz w:val="28"/>
                <w:szCs w:val="28"/>
              </w:rPr>
              <w:t>Vorübergehende Umstrukturierungsb</w:t>
            </w:r>
            <w:r w:rsidRPr="00F52353">
              <w:rPr>
                <w:rFonts w:ascii="Arial" w:hAnsi="Arial" w:cs="Arial"/>
                <w:b/>
                <w:color w:val="000000"/>
                <w:sz w:val="28"/>
                <w:szCs w:val="28"/>
              </w:rPr>
              <w:t>eihilfen</w:t>
            </w:r>
            <w:r w:rsidRPr="00F52353">
              <w:rPr>
                <w:rFonts w:ascii="Arial" w:hAnsi="Arial" w:cs="Arial"/>
                <w:color w:val="000000"/>
                <w:sz w:val="28"/>
                <w:szCs w:val="28"/>
              </w:rPr>
              <w:t xml:space="preserve"> sind Liquiditäts</w:t>
            </w:r>
            <w:r w:rsidR="009903ED">
              <w:rPr>
                <w:rFonts w:ascii="Arial" w:hAnsi="Arial" w:cs="Arial"/>
                <w:color w:val="000000"/>
                <w:sz w:val="28"/>
                <w:szCs w:val="28"/>
              </w:rPr>
              <w:t>-</w:t>
            </w:r>
            <w:r w:rsidRPr="00F52353">
              <w:rPr>
                <w:rFonts w:ascii="Arial" w:hAnsi="Arial" w:cs="Arial"/>
                <w:color w:val="000000"/>
                <w:sz w:val="28"/>
                <w:szCs w:val="28"/>
              </w:rPr>
              <w:t>beihil</w:t>
            </w:r>
            <w:r w:rsidRPr="008C3559">
              <w:rPr>
                <w:rFonts w:ascii="Arial" w:hAnsi="Arial" w:cs="Arial"/>
                <w:color w:val="000000"/>
                <w:sz w:val="28"/>
                <w:szCs w:val="28"/>
              </w:rPr>
              <w:t xml:space="preserve">fen, mit denen die Umstrukturierung eines </w:t>
            </w:r>
            <w:proofErr w:type="spellStart"/>
            <w:r w:rsidRPr="008C3559">
              <w:rPr>
                <w:rFonts w:ascii="Arial" w:hAnsi="Arial" w:cs="Arial"/>
                <w:color w:val="000000"/>
                <w:sz w:val="28"/>
                <w:szCs w:val="28"/>
              </w:rPr>
              <w:t>UiS</w:t>
            </w:r>
            <w:proofErr w:type="spellEnd"/>
            <w:r w:rsidRPr="008C3559">
              <w:rPr>
                <w:rFonts w:ascii="Arial" w:hAnsi="Arial" w:cs="Arial"/>
                <w:color w:val="000000"/>
                <w:sz w:val="28"/>
                <w:szCs w:val="28"/>
              </w:rPr>
              <w:t xml:space="preserve"> dadurch gefördert werden soll, dass die Voraussetzungen geschaffen werden, die das betreffende Unternehmen für d</w:t>
            </w:r>
            <w:r w:rsidRPr="00F52353">
              <w:rPr>
                <w:rFonts w:ascii="Arial" w:hAnsi="Arial" w:cs="Arial"/>
                <w:color w:val="000000"/>
                <w:sz w:val="28"/>
                <w:szCs w:val="28"/>
              </w:rPr>
              <w:t>ie Erarbeitung und Umsetzung ge</w:t>
            </w:r>
            <w:r w:rsidRPr="008C3559">
              <w:rPr>
                <w:rFonts w:ascii="Arial" w:hAnsi="Arial" w:cs="Arial"/>
                <w:color w:val="000000"/>
                <w:sz w:val="28"/>
                <w:szCs w:val="28"/>
              </w:rPr>
              <w:t>eigneter Maßnahmen zur Wiederherstellung seiner langfristigen Rentabilität benötigt. Diese Beihilfen dürfen nur KMU und kleineren staatlichen Unternehmen gewährt</w:t>
            </w:r>
            <w:r w:rsidRPr="00F52353">
              <w:rPr>
                <w:rFonts w:ascii="Arial" w:hAnsi="Arial" w:cs="Arial"/>
                <w:color w:val="000000"/>
                <w:sz w:val="28"/>
                <w:szCs w:val="28"/>
              </w:rPr>
              <w:t xml:space="preserve"> werden und nur in Form von Dar</w:t>
            </w:r>
            <w:r w:rsidRPr="008C3559">
              <w:rPr>
                <w:rFonts w:ascii="Arial" w:hAnsi="Arial" w:cs="Arial"/>
                <w:color w:val="000000"/>
                <w:sz w:val="28"/>
                <w:szCs w:val="28"/>
              </w:rPr>
              <w:t xml:space="preserve">lehen oder Darlehensbürgschaften. </w:t>
            </w:r>
          </w:p>
          <w:p w14:paraId="2A7F9FB2" w14:textId="77777777" w:rsidR="00F52353" w:rsidRPr="00F52353" w:rsidRDefault="00F52353" w:rsidP="00F52353">
            <w:pPr>
              <w:pStyle w:val="Default"/>
              <w:spacing w:line="360" w:lineRule="auto"/>
              <w:jc w:val="both"/>
              <w:rPr>
                <w:rFonts w:cstheme="minorBidi"/>
                <w:color w:val="auto"/>
                <w:sz w:val="28"/>
                <w:szCs w:val="28"/>
              </w:rPr>
            </w:pPr>
          </w:p>
          <w:p w14:paraId="3B7D9BE9" w14:textId="5D9622F1" w:rsidR="00F52353" w:rsidRDefault="00F52353" w:rsidP="00F52353">
            <w:pPr>
              <w:pStyle w:val="Default"/>
              <w:spacing w:line="360" w:lineRule="auto"/>
              <w:jc w:val="both"/>
              <w:rPr>
                <w:sz w:val="28"/>
                <w:szCs w:val="28"/>
              </w:rPr>
            </w:pPr>
            <w:r w:rsidRPr="00F52353">
              <w:rPr>
                <w:sz w:val="28"/>
                <w:szCs w:val="28"/>
              </w:rPr>
              <w:t xml:space="preserve">Ein Unternehmen muss für eine vorübergehende </w:t>
            </w:r>
            <w:proofErr w:type="spellStart"/>
            <w:r w:rsidRPr="00F52353">
              <w:rPr>
                <w:sz w:val="28"/>
                <w:szCs w:val="28"/>
              </w:rPr>
              <w:t>Umstrukturie-rungsbeihilfe</w:t>
            </w:r>
            <w:proofErr w:type="spellEnd"/>
            <w:r w:rsidRPr="00F52353">
              <w:rPr>
                <w:sz w:val="28"/>
                <w:szCs w:val="28"/>
              </w:rPr>
              <w:t xml:space="preserve"> eine </w:t>
            </w:r>
            <w:r w:rsidR="005951D9">
              <w:rPr>
                <w:sz w:val="28"/>
                <w:szCs w:val="28"/>
              </w:rPr>
              <w:t xml:space="preserve">entsprechende </w:t>
            </w:r>
            <w:r w:rsidRPr="00F52353">
              <w:rPr>
                <w:sz w:val="28"/>
                <w:szCs w:val="28"/>
              </w:rPr>
              <w:t>Vergütung zahle</w:t>
            </w:r>
            <w:r>
              <w:rPr>
                <w:sz w:val="28"/>
                <w:szCs w:val="28"/>
              </w:rPr>
              <w:t>n</w:t>
            </w:r>
            <w:r w:rsidR="005951D9">
              <w:rPr>
                <w:sz w:val="28"/>
                <w:szCs w:val="28"/>
              </w:rPr>
              <w:t>. (</w:t>
            </w:r>
            <w:r>
              <w:rPr>
                <w:sz w:val="28"/>
                <w:szCs w:val="28"/>
              </w:rPr>
              <w:t>die nicht unter dem Referenz</w:t>
            </w:r>
            <w:r w:rsidRPr="00F52353">
              <w:rPr>
                <w:sz w:val="28"/>
                <w:szCs w:val="28"/>
              </w:rPr>
              <w:t>satz liegt, der in der Referenzzin</w:t>
            </w:r>
            <w:r>
              <w:rPr>
                <w:sz w:val="28"/>
                <w:szCs w:val="28"/>
              </w:rPr>
              <w:t>ssatzmitteilung für schwache Un</w:t>
            </w:r>
            <w:r w:rsidRPr="00F52353">
              <w:rPr>
                <w:sz w:val="28"/>
                <w:szCs w:val="28"/>
              </w:rPr>
              <w:t>ternehmen bei einer normalen Besicherung festgelegt ist (derzeit Basissatz + 400 Basispunkte). Zwölf Monate nach der Auszahlung der ersten Rate sollte die Vergütung um mindestens 50 Basispunkte angehoben werden.</w:t>
            </w:r>
            <w:r w:rsidR="005951D9">
              <w:rPr>
                <w:sz w:val="28"/>
                <w:szCs w:val="28"/>
              </w:rPr>
              <w:t>)</w:t>
            </w:r>
          </w:p>
          <w:p w14:paraId="7D1E32CC" w14:textId="1733DBA2" w:rsidR="00F52353" w:rsidRPr="00F52353" w:rsidRDefault="00F52353" w:rsidP="00F52353">
            <w:pPr>
              <w:pStyle w:val="Default"/>
              <w:spacing w:line="360" w:lineRule="auto"/>
              <w:jc w:val="both"/>
              <w:rPr>
                <w:sz w:val="28"/>
                <w:szCs w:val="28"/>
              </w:rPr>
            </w:pPr>
            <w:r w:rsidRPr="00F52353">
              <w:rPr>
                <w:sz w:val="28"/>
                <w:szCs w:val="28"/>
              </w:rPr>
              <w:t xml:space="preserve"> </w:t>
            </w:r>
          </w:p>
          <w:p w14:paraId="0A8FB2B9" w14:textId="50E6F3A1" w:rsidR="00F52353" w:rsidRPr="00F52353" w:rsidRDefault="00F52353" w:rsidP="00F52353">
            <w:pPr>
              <w:pStyle w:val="Default"/>
              <w:spacing w:line="360" w:lineRule="auto"/>
              <w:jc w:val="both"/>
              <w:rPr>
                <w:sz w:val="28"/>
                <w:szCs w:val="28"/>
              </w:rPr>
            </w:pPr>
            <w:r w:rsidRPr="00F52353">
              <w:rPr>
                <w:sz w:val="28"/>
                <w:szCs w:val="28"/>
              </w:rPr>
              <w:t>Vorübergehende Umstrukturierungs</w:t>
            </w:r>
            <w:r w:rsidR="005951D9">
              <w:rPr>
                <w:sz w:val="28"/>
                <w:szCs w:val="28"/>
              </w:rPr>
              <w:t>beihilfen können für einen Zeit</w:t>
            </w:r>
            <w:r w:rsidRPr="00F52353">
              <w:rPr>
                <w:sz w:val="28"/>
                <w:szCs w:val="28"/>
              </w:rPr>
              <w:t xml:space="preserve">raum von </w:t>
            </w:r>
            <w:r w:rsidRPr="00F52353">
              <w:rPr>
                <w:b/>
                <w:sz w:val="28"/>
                <w:szCs w:val="28"/>
              </w:rPr>
              <w:t>höchstens 18 Monaten</w:t>
            </w:r>
            <w:r>
              <w:rPr>
                <w:sz w:val="28"/>
                <w:szCs w:val="28"/>
              </w:rPr>
              <w:t xml:space="preserve"> gewährt werden. Vor Ablauf die</w:t>
            </w:r>
            <w:r w:rsidRPr="00F52353">
              <w:rPr>
                <w:sz w:val="28"/>
                <w:szCs w:val="28"/>
              </w:rPr>
              <w:t xml:space="preserve">ses Zeitraums muss das Darlehen vollständig zurückgezahlt oder </w:t>
            </w:r>
            <w:r w:rsidRPr="00F52353">
              <w:rPr>
                <w:sz w:val="28"/>
                <w:szCs w:val="28"/>
              </w:rPr>
              <w:lastRenderedPageBreak/>
              <w:t>die Bürgschaft ausgelaufen sein oder der Mitgliedstaat muss einen Um-strukturierungs- bzw. Abwicklungsplan genehmigen.</w:t>
            </w:r>
          </w:p>
          <w:p w14:paraId="45C82B5D" w14:textId="40BE68AF" w:rsidR="00F52353" w:rsidRPr="00F52353" w:rsidRDefault="00F52353" w:rsidP="00F52353">
            <w:pPr>
              <w:pStyle w:val="Default"/>
              <w:spacing w:line="360" w:lineRule="auto"/>
              <w:jc w:val="both"/>
              <w:rPr>
                <w:sz w:val="28"/>
                <w:szCs w:val="28"/>
              </w:rPr>
            </w:pPr>
            <w:r w:rsidRPr="00F52353">
              <w:rPr>
                <w:sz w:val="28"/>
                <w:szCs w:val="28"/>
              </w:rPr>
              <w:t xml:space="preserve">Vorübergehende Umstrukturierungsbeihilfen können auch Unter-nehmen gewährt werden, die keine </w:t>
            </w:r>
            <w:proofErr w:type="spellStart"/>
            <w:r w:rsidRPr="00F52353">
              <w:rPr>
                <w:sz w:val="28"/>
                <w:szCs w:val="28"/>
              </w:rPr>
              <w:t>UiS</w:t>
            </w:r>
            <w:proofErr w:type="spellEnd"/>
            <w:r w:rsidRPr="00F52353">
              <w:rPr>
                <w:sz w:val="28"/>
                <w:szCs w:val="28"/>
              </w:rPr>
              <w:t xml:space="preserve"> im Sinne der Definition sind, die jedoch aufgrund außergewöhnlicher und unvorhersehbarer Umstände mit einem akuten Liquiditätsbedarf konfrontiert sind. </w:t>
            </w:r>
          </w:p>
          <w:p w14:paraId="3C1E4F6A" w14:textId="77777777" w:rsidR="008C3559" w:rsidRPr="008C3559" w:rsidRDefault="008C3559" w:rsidP="00F52353">
            <w:pPr>
              <w:autoSpaceDE w:val="0"/>
              <w:autoSpaceDN w:val="0"/>
              <w:adjustRightInd w:val="0"/>
              <w:spacing w:line="360" w:lineRule="auto"/>
              <w:jc w:val="both"/>
              <w:rPr>
                <w:rFonts w:ascii="Arial" w:hAnsi="Arial" w:cs="Arial"/>
                <w:color w:val="000000"/>
                <w:sz w:val="28"/>
                <w:szCs w:val="28"/>
              </w:rPr>
            </w:pPr>
          </w:p>
        </w:tc>
      </w:tr>
      <w:tr w:rsidR="00F52353" w:rsidRPr="00F52353" w14:paraId="2D817EA4" w14:textId="77777777" w:rsidTr="00F52353">
        <w:trPr>
          <w:trHeight w:val="2575"/>
        </w:trPr>
        <w:tc>
          <w:tcPr>
            <w:tcW w:w="9174" w:type="dxa"/>
            <w:tcBorders>
              <w:left w:val="nil"/>
              <w:bottom w:val="nil"/>
              <w:right w:val="nil"/>
            </w:tcBorders>
          </w:tcPr>
          <w:p w14:paraId="55192D5B" w14:textId="19F141B7" w:rsidR="00F52353" w:rsidRPr="00F52353" w:rsidRDefault="00F52353" w:rsidP="00F52353">
            <w:pPr>
              <w:pStyle w:val="Listenabsatz"/>
              <w:numPr>
                <w:ilvl w:val="0"/>
                <w:numId w:val="11"/>
              </w:numPr>
              <w:spacing w:line="360" w:lineRule="auto"/>
              <w:jc w:val="both"/>
              <w:rPr>
                <w:rFonts w:ascii="Arial" w:hAnsi="Arial" w:cs="Arial"/>
                <w:b/>
                <w:color w:val="000000"/>
                <w:sz w:val="28"/>
                <w:szCs w:val="28"/>
              </w:rPr>
            </w:pPr>
            <w:proofErr w:type="spellStart"/>
            <w:r w:rsidRPr="00F52353">
              <w:rPr>
                <w:rFonts w:ascii="Arial" w:hAnsi="Arial" w:cs="Arial"/>
                <w:b/>
                <w:color w:val="000000"/>
                <w:sz w:val="28"/>
                <w:szCs w:val="28"/>
              </w:rPr>
              <w:lastRenderedPageBreak/>
              <w:t>Notifiz</w:t>
            </w:r>
            <w:r>
              <w:rPr>
                <w:rFonts w:ascii="Arial" w:hAnsi="Arial" w:cs="Arial"/>
                <w:b/>
                <w:color w:val="000000"/>
                <w:sz w:val="28"/>
                <w:szCs w:val="28"/>
              </w:rPr>
              <w:t>i</w:t>
            </w:r>
            <w:r w:rsidRPr="00F52353">
              <w:rPr>
                <w:rFonts w:ascii="Arial" w:hAnsi="Arial" w:cs="Arial"/>
                <w:b/>
                <w:color w:val="000000"/>
                <w:sz w:val="28"/>
                <w:szCs w:val="28"/>
              </w:rPr>
              <w:t>erung</w:t>
            </w:r>
            <w:proofErr w:type="spellEnd"/>
          </w:p>
          <w:p w14:paraId="3549CC72" w14:textId="77777777" w:rsidR="00F52353" w:rsidRDefault="00F52353" w:rsidP="00F52353">
            <w:pPr>
              <w:spacing w:line="360" w:lineRule="auto"/>
              <w:jc w:val="both"/>
              <w:rPr>
                <w:rFonts w:ascii="Arial" w:hAnsi="Arial" w:cs="Arial"/>
                <w:color w:val="000000"/>
                <w:sz w:val="28"/>
                <w:szCs w:val="28"/>
              </w:rPr>
            </w:pPr>
          </w:p>
          <w:p w14:paraId="2153367A" w14:textId="43191BBC" w:rsidR="00F52353" w:rsidRPr="00F52353" w:rsidRDefault="00F52353" w:rsidP="00F52353">
            <w:pPr>
              <w:spacing w:line="360" w:lineRule="auto"/>
              <w:jc w:val="both"/>
              <w:rPr>
                <w:rFonts w:ascii="Arial" w:hAnsi="Arial" w:cs="Arial"/>
                <w:color w:val="000000"/>
                <w:sz w:val="28"/>
                <w:szCs w:val="28"/>
                <w:u w:val="single"/>
              </w:rPr>
            </w:pPr>
            <w:r w:rsidRPr="00F52353">
              <w:rPr>
                <w:rFonts w:ascii="Arial" w:hAnsi="Arial" w:cs="Arial"/>
                <w:color w:val="000000"/>
                <w:sz w:val="28"/>
                <w:szCs w:val="28"/>
                <w:u w:val="single"/>
              </w:rPr>
              <w:t xml:space="preserve">Große Unternehmen: </w:t>
            </w:r>
          </w:p>
          <w:p w14:paraId="105DB9A5" w14:textId="4922A661" w:rsidR="00F52353" w:rsidRPr="00F52353" w:rsidRDefault="00F52353" w:rsidP="00F52353">
            <w:pPr>
              <w:pStyle w:val="Listenabsatz"/>
              <w:spacing w:line="360" w:lineRule="auto"/>
              <w:ind w:left="37"/>
              <w:jc w:val="both"/>
              <w:rPr>
                <w:rFonts w:ascii="Arial" w:hAnsi="Arial" w:cs="Arial"/>
                <w:color w:val="000000"/>
                <w:sz w:val="28"/>
                <w:szCs w:val="28"/>
              </w:rPr>
            </w:pPr>
            <w:r w:rsidRPr="00F52353">
              <w:rPr>
                <w:rFonts w:ascii="Arial" w:hAnsi="Arial" w:cs="Arial"/>
                <w:color w:val="000000"/>
                <w:sz w:val="28"/>
                <w:szCs w:val="28"/>
              </w:rPr>
              <w:t xml:space="preserve">Für große Unternehmen gilt die </w:t>
            </w:r>
            <w:proofErr w:type="spellStart"/>
            <w:r w:rsidRPr="00F52353">
              <w:rPr>
                <w:rFonts w:ascii="Arial" w:hAnsi="Arial" w:cs="Arial"/>
                <w:color w:val="000000"/>
                <w:sz w:val="28"/>
                <w:szCs w:val="28"/>
              </w:rPr>
              <w:t>Einzelnotifizierungspflicht</w:t>
            </w:r>
            <w:proofErr w:type="spellEnd"/>
            <w:r w:rsidRPr="00F52353">
              <w:rPr>
                <w:rFonts w:ascii="Arial" w:hAnsi="Arial" w:cs="Arial"/>
                <w:color w:val="000000"/>
                <w:sz w:val="28"/>
                <w:szCs w:val="28"/>
              </w:rPr>
              <w:t xml:space="preserve">. </w:t>
            </w:r>
          </w:p>
          <w:p w14:paraId="76A7A1D1" w14:textId="2A218211" w:rsidR="00F52353" w:rsidRPr="00F52353" w:rsidRDefault="00F52353" w:rsidP="00F52353">
            <w:pPr>
              <w:pStyle w:val="Listenabsatz"/>
              <w:spacing w:line="360" w:lineRule="auto"/>
              <w:ind w:left="37"/>
              <w:jc w:val="both"/>
              <w:rPr>
                <w:rFonts w:ascii="Arial" w:hAnsi="Arial" w:cs="Arial"/>
                <w:color w:val="000000"/>
                <w:sz w:val="28"/>
                <w:szCs w:val="28"/>
              </w:rPr>
            </w:pPr>
            <w:r w:rsidRPr="00F52353">
              <w:rPr>
                <w:rFonts w:ascii="Arial" w:hAnsi="Arial" w:cs="Arial"/>
                <w:color w:val="000000"/>
                <w:sz w:val="28"/>
                <w:szCs w:val="28"/>
              </w:rPr>
              <w:t xml:space="preserve">Bei der Beurteilung der Vereinbarkeit mit dem Binnenmarkt müssen folgende Kriterien erfüllt sein: </w:t>
            </w:r>
          </w:p>
          <w:p w14:paraId="17F7B595" w14:textId="1BEE528D"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Beitrag zu einem genau definierten Ziel von gemeinsamem </w:t>
            </w:r>
            <w:proofErr w:type="spellStart"/>
            <w:r w:rsidRPr="00F52353">
              <w:rPr>
                <w:rFonts w:ascii="Arial" w:hAnsi="Arial" w:cs="Arial"/>
                <w:color w:val="000000"/>
                <w:sz w:val="28"/>
                <w:szCs w:val="28"/>
              </w:rPr>
              <w:t>Inte-resse</w:t>
            </w:r>
            <w:proofErr w:type="spellEnd"/>
            <w:r w:rsidRPr="00F52353">
              <w:rPr>
                <w:rFonts w:ascii="Arial" w:hAnsi="Arial" w:cs="Arial"/>
                <w:color w:val="000000"/>
                <w:sz w:val="28"/>
                <w:szCs w:val="28"/>
              </w:rPr>
              <w:t xml:space="preserve">, </w:t>
            </w:r>
          </w:p>
          <w:p w14:paraId="14FDC2EA" w14:textId="0625E384"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Notwendigkeit, </w:t>
            </w:r>
          </w:p>
          <w:p w14:paraId="662B3DCF" w14:textId="531C4FCC"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Geeignetheit, </w:t>
            </w:r>
          </w:p>
          <w:p w14:paraId="23EF0DE2" w14:textId="44A8E7A5"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Anreizeffekt, </w:t>
            </w:r>
          </w:p>
          <w:p w14:paraId="24F46F38" w14:textId="169FEF27"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Angemessenheit (Begrenzung auf das Minimum), </w:t>
            </w:r>
          </w:p>
          <w:p w14:paraId="505B8232" w14:textId="43DADA3C" w:rsidR="00F52353" w:rsidRPr="00F52353"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Vermeidung übermäßiger negativer Auswirkungen auf den Wettbewerb und den Handel zwischen Mitgliedstaaten (Grund-satz der Einmaligkeit in zehn Jahren), </w:t>
            </w:r>
          </w:p>
          <w:p w14:paraId="0C52D33C" w14:textId="26EAE09D" w:rsidR="00F52353" w:rsidRPr="009903ED" w:rsidRDefault="00F52353" w:rsidP="00F52353">
            <w:pPr>
              <w:pStyle w:val="Listenabsatz"/>
              <w:numPr>
                <w:ilvl w:val="0"/>
                <w:numId w:val="12"/>
              </w:numPr>
              <w:spacing w:line="360" w:lineRule="auto"/>
              <w:jc w:val="both"/>
              <w:rPr>
                <w:rFonts w:ascii="Arial" w:hAnsi="Arial" w:cs="Arial"/>
                <w:color w:val="000000"/>
                <w:sz w:val="28"/>
                <w:szCs w:val="28"/>
              </w:rPr>
            </w:pPr>
            <w:r w:rsidRPr="00F52353">
              <w:rPr>
                <w:rFonts w:ascii="Arial" w:hAnsi="Arial" w:cs="Arial"/>
                <w:color w:val="000000"/>
                <w:sz w:val="28"/>
                <w:szCs w:val="28"/>
              </w:rPr>
              <w:t xml:space="preserve">Transparenz. </w:t>
            </w:r>
          </w:p>
          <w:p w14:paraId="4443005A" w14:textId="77777777" w:rsidR="009903ED" w:rsidRDefault="009903ED" w:rsidP="00F52353">
            <w:pPr>
              <w:spacing w:line="360" w:lineRule="auto"/>
              <w:jc w:val="both"/>
              <w:rPr>
                <w:rFonts w:ascii="Arial" w:hAnsi="Arial" w:cs="Arial"/>
                <w:color w:val="000000"/>
                <w:sz w:val="28"/>
                <w:szCs w:val="28"/>
                <w:u w:val="single"/>
              </w:rPr>
            </w:pPr>
          </w:p>
          <w:p w14:paraId="0A377D46" w14:textId="0A9D012E" w:rsidR="00F52353" w:rsidRPr="00F52353" w:rsidRDefault="00F52353" w:rsidP="00F52353">
            <w:pPr>
              <w:spacing w:line="360" w:lineRule="auto"/>
              <w:jc w:val="both"/>
              <w:rPr>
                <w:rFonts w:ascii="Arial" w:hAnsi="Arial" w:cs="Arial"/>
                <w:color w:val="000000"/>
                <w:sz w:val="28"/>
                <w:szCs w:val="28"/>
                <w:u w:val="single"/>
              </w:rPr>
            </w:pPr>
            <w:r w:rsidRPr="00F52353">
              <w:rPr>
                <w:rFonts w:ascii="Arial" w:hAnsi="Arial" w:cs="Arial"/>
                <w:color w:val="000000"/>
                <w:sz w:val="28"/>
                <w:szCs w:val="28"/>
                <w:u w:val="single"/>
              </w:rPr>
              <w:t xml:space="preserve">Kleine und mittlere Unternehmen (KMU): </w:t>
            </w:r>
          </w:p>
          <w:p w14:paraId="0D05437E" w14:textId="41261B18" w:rsidR="00F40F0D" w:rsidRPr="005951D9" w:rsidRDefault="00F40F0D" w:rsidP="005951D9">
            <w:pPr>
              <w:pStyle w:val="Listenabsatz"/>
              <w:spacing w:line="360" w:lineRule="auto"/>
              <w:ind w:left="37" w:hanging="37"/>
              <w:jc w:val="both"/>
              <w:rPr>
                <w:rFonts w:ascii="Arial" w:hAnsi="Arial" w:cs="Arial"/>
                <w:sz w:val="28"/>
                <w:szCs w:val="28"/>
              </w:rPr>
            </w:pPr>
          </w:p>
          <w:p w14:paraId="2A04DB94" w14:textId="2159EC35" w:rsidR="00F40F0D" w:rsidRDefault="00F52353" w:rsidP="00F40F0D">
            <w:pPr>
              <w:spacing w:line="360" w:lineRule="auto"/>
              <w:jc w:val="both"/>
              <w:rPr>
                <w:rFonts w:ascii="Arial" w:hAnsi="Arial" w:cs="Arial"/>
                <w:color w:val="000000"/>
                <w:sz w:val="28"/>
                <w:szCs w:val="28"/>
              </w:rPr>
            </w:pPr>
            <w:r w:rsidRPr="00F52353">
              <w:rPr>
                <w:rFonts w:ascii="Arial" w:hAnsi="Arial" w:cs="Arial"/>
                <w:color w:val="000000"/>
                <w:sz w:val="28"/>
                <w:szCs w:val="28"/>
              </w:rPr>
              <w:t xml:space="preserve">Beihilfemaßnahmen für KMU </w:t>
            </w:r>
            <w:r w:rsidR="009903ED">
              <w:rPr>
                <w:rFonts w:ascii="Arial" w:hAnsi="Arial" w:cs="Arial"/>
                <w:color w:val="000000"/>
                <w:sz w:val="28"/>
                <w:szCs w:val="28"/>
              </w:rPr>
              <w:t>erfolgen</w:t>
            </w:r>
            <w:r>
              <w:rPr>
                <w:rFonts w:ascii="Arial" w:hAnsi="Arial" w:cs="Arial"/>
                <w:color w:val="000000"/>
                <w:sz w:val="28"/>
                <w:szCs w:val="28"/>
              </w:rPr>
              <w:t xml:space="preserve"> im Rahmen von </w:t>
            </w:r>
            <w:r w:rsidR="00EF6502">
              <w:rPr>
                <w:rFonts w:ascii="Arial" w:hAnsi="Arial" w:cs="Arial"/>
                <w:color w:val="000000"/>
                <w:sz w:val="28"/>
                <w:szCs w:val="28"/>
              </w:rPr>
              <w:t xml:space="preserve">generellen </w:t>
            </w:r>
            <w:r>
              <w:rPr>
                <w:rFonts w:ascii="Arial" w:hAnsi="Arial" w:cs="Arial"/>
                <w:color w:val="000000"/>
                <w:sz w:val="28"/>
                <w:szCs w:val="28"/>
              </w:rPr>
              <w:t>Beihilferegelun</w:t>
            </w:r>
            <w:r w:rsidR="009903ED">
              <w:rPr>
                <w:rFonts w:ascii="Arial" w:hAnsi="Arial" w:cs="Arial"/>
                <w:color w:val="000000"/>
                <w:sz w:val="28"/>
                <w:szCs w:val="28"/>
              </w:rPr>
              <w:t>gen</w:t>
            </w:r>
            <w:r w:rsidRPr="00F52353">
              <w:rPr>
                <w:rFonts w:ascii="Arial" w:hAnsi="Arial" w:cs="Arial"/>
                <w:color w:val="000000"/>
                <w:sz w:val="28"/>
                <w:szCs w:val="28"/>
              </w:rPr>
              <w:t>. In den Beihilferege</w:t>
            </w:r>
            <w:r>
              <w:rPr>
                <w:rFonts w:ascii="Arial" w:hAnsi="Arial" w:cs="Arial"/>
                <w:color w:val="000000"/>
                <w:sz w:val="28"/>
                <w:szCs w:val="28"/>
              </w:rPr>
              <w:t>lungen muss der Höchstbetrag ge</w:t>
            </w:r>
            <w:r w:rsidRPr="00F52353">
              <w:rPr>
                <w:rFonts w:ascii="Arial" w:hAnsi="Arial" w:cs="Arial"/>
                <w:color w:val="000000"/>
                <w:sz w:val="28"/>
                <w:szCs w:val="28"/>
              </w:rPr>
              <w:t xml:space="preserve">nannt sein, der als Rettungsbeihilfe, Umstrukturierungsbeihilfe oder </w:t>
            </w:r>
            <w:r w:rsidRPr="00F52353">
              <w:rPr>
                <w:rFonts w:ascii="Arial" w:hAnsi="Arial" w:cs="Arial"/>
                <w:color w:val="000000"/>
                <w:sz w:val="28"/>
                <w:szCs w:val="28"/>
              </w:rPr>
              <w:lastRenderedPageBreak/>
              <w:t>vorübergehende Umstrukturierungsbeihilfe gewährt werden kann. Der Höchstbetrag der gesamten Beihil</w:t>
            </w:r>
            <w:r>
              <w:rPr>
                <w:rFonts w:ascii="Arial" w:hAnsi="Arial" w:cs="Arial"/>
                <w:color w:val="000000"/>
                <w:sz w:val="28"/>
                <w:szCs w:val="28"/>
              </w:rPr>
              <w:t>fen – einschließlich der Beihil</w:t>
            </w:r>
            <w:r w:rsidRPr="00F52353">
              <w:rPr>
                <w:rFonts w:ascii="Arial" w:hAnsi="Arial" w:cs="Arial"/>
                <w:color w:val="000000"/>
                <w:sz w:val="28"/>
                <w:szCs w:val="28"/>
              </w:rPr>
              <w:t>fen aus anderen Quellen oder ande</w:t>
            </w:r>
            <w:r>
              <w:rPr>
                <w:rFonts w:ascii="Arial" w:hAnsi="Arial" w:cs="Arial"/>
                <w:color w:val="000000"/>
                <w:sz w:val="28"/>
                <w:szCs w:val="28"/>
              </w:rPr>
              <w:t>ren Regelungen –, die ein Unter</w:t>
            </w:r>
            <w:r w:rsidRPr="00F52353">
              <w:rPr>
                <w:rFonts w:ascii="Arial" w:hAnsi="Arial" w:cs="Arial"/>
                <w:color w:val="000000"/>
                <w:sz w:val="28"/>
                <w:szCs w:val="28"/>
              </w:rPr>
              <w:t xml:space="preserve">nehmen erhält, darf 10 Mio. EUR nicht überschreiten. </w:t>
            </w:r>
          </w:p>
          <w:p w14:paraId="3A606671" w14:textId="77777777" w:rsidR="00F40F0D" w:rsidRDefault="00F40F0D" w:rsidP="00F40F0D">
            <w:pPr>
              <w:spacing w:line="360" w:lineRule="auto"/>
              <w:jc w:val="both"/>
              <w:rPr>
                <w:rFonts w:ascii="Arial" w:hAnsi="Arial" w:cs="Arial"/>
                <w:color w:val="000000"/>
                <w:sz w:val="28"/>
                <w:szCs w:val="28"/>
              </w:rPr>
            </w:pPr>
          </w:p>
          <w:p w14:paraId="0DCD9C3B" w14:textId="52F441C8" w:rsidR="00F52353" w:rsidRPr="00F40F0D" w:rsidRDefault="00F40F0D" w:rsidP="00F40F0D">
            <w:pPr>
              <w:spacing w:line="360" w:lineRule="auto"/>
              <w:jc w:val="both"/>
              <w:rPr>
                <w:rFonts w:ascii="Arial" w:hAnsi="Arial" w:cs="Arial"/>
                <w:sz w:val="28"/>
                <w:szCs w:val="28"/>
              </w:rPr>
            </w:pPr>
            <w:r w:rsidRPr="001B31A2">
              <w:rPr>
                <w:rFonts w:ascii="Arial" w:hAnsi="Arial" w:cs="Arial"/>
                <w:sz w:val="28"/>
                <w:szCs w:val="28"/>
              </w:rPr>
              <w:t xml:space="preserve">Innerhalb dieses </w:t>
            </w:r>
            <w:r w:rsidR="009903ED">
              <w:rPr>
                <w:rFonts w:ascii="Arial" w:hAnsi="Arial" w:cs="Arial"/>
                <w:sz w:val="28"/>
                <w:szCs w:val="28"/>
              </w:rPr>
              <w:t xml:space="preserve">rechtlichen </w:t>
            </w:r>
            <w:r w:rsidRPr="001B31A2">
              <w:rPr>
                <w:rFonts w:ascii="Arial" w:hAnsi="Arial" w:cs="Arial"/>
                <w:sz w:val="28"/>
                <w:szCs w:val="28"/>
              </w:rPr>
              <w:t>Rahmens kann und darf die Politik Unterstützungsmaßnahmen leisten und Bürgschaften, z.B. über die jeweiligen Förderbanken zur Verfügung stellen.</w:t>
            </w:r>
          </w:p>
          <w:p w14:paraId="23EF46F2" w14:textId="77777777" w:rsidR="00F52353" w:rsidRPr="00F52353" w:rsidRDefault="00F52353" w:rsidP="00F52353">
            <w:pPr>
              <w:pStyle w:val="Listenabsatz"/>
              <w:spacing w:line="360" w:lineRule="auto"/>
              <w:ind w:left="795" w:hanging="360"/>
              <w:jc w:val="both"/>
              <w:rPr>
                <w:rFonts w:ascii="Arial" w:hAnsi="Arial" w:cs="Arial"/>
                <w:color w:val="000000"/>
                <w:sz w:val="28"/>
                <w:szCs w:val="28"/>
              </w:rPr>
            </w:pPr>
          </w:p>
        </w:tc>
      </w:tr>
    </w:tbl>
    <w:p w14:paraId="377AD0DB" w14:textId="2F54B14D" w:rsidR="00412546" w:rsidRPr="00EF6502" w:rsidRDefault="00412546" w:rsidP="001B31A2">
      <w:pPr>
        <w:pStyle w:val="Listenabsatz"/>
        <w:numPr>
          <w:ilvl w:val="0"/>
          <w:numId w:val="5"/>
        </w:numPr>
        <w:spacing w:line="360" w:lineRule="auto"/>
        <w:jc w:val="both"/>
        <w:rPr>
          <w:rFonts w:ascii="Arial" w:hAnsi="Arial" w:cs="Arial"/>
          <w:b/>
          <w:sz w:val="28"/>
          <w:szCs w:val="28"/>
        </w:rPr>
      </w:pPr>
      <w:r w:rsidRPr="00EF6502">
        <w:rPr>
          <w:rFonts w:ascii="Arial" w:hAnsi="Arial" w:cs="Arial"/>
          <w:b/>
          <w:sz w:val="28"/>
          <w:szCs w:val="28"/>
        </w:rPr>
        <w:lastRenderedPageBreak/>
        <w:t>Zweckmäßigkeit und Erforderlichkeit von Unterstützungsmaßnahmen</w:t>
      </w:r>
    </w:p>
    <w:p w14:paraId="7DAB3EB1" w14:textId="77777777" w:rsidR="00412546" w:rsidRPr="001B31A2" w:rsidRDefault="00412546" w:rsidP="001B31A2">
      <w:pPr>
        <w:spacing w:line="360" w:lineRule="auto"/>
        <w:jc w:val="both"/>
        <w:rPr>
          <w:rFonts w:ascii="Arial" w:hAnsi="Arial" w:cs="Arial"/>
          <w:sz w:val="28"/>
          <w:szCs w:val="28"/>
        </w:rPr>
      </w:pPr>
    </w:p>
    <w:p w14:paraId="49108B7B" w14:textId="7BF9C7B6" w:rsidR="00412546" w:rsidRPr="001B31A2" w:rsidRDefault="00412546" w:rsidP="001B31A2">
      <w:pPr>
        <w:spacing w:line="360" w:lineRule="auto"/>
        <w:jc w:val="both"/>
        <w:rPr>
          <w:rFonts w:ascii="Arial" w:hAnsi="Arial" w:cs="Arial"/>
          <w:sz w:val="28"/>
          <w:szCs w:val="28"/>
        </w:rPr>
      </w:pPr>
      <w:r w:rsidRPr="001B31A2">
        <w:rPr>
          <w:rFonts w:ascii="Arial" w:hAnsi="Arial" w:cs="Arial"/>
          <w:sz w:val="28"/>
          <w:szCs w:val="28"/>
        </w:rPr>
        <w:t xml:space="preserve">Wie sich aus den Ausführungen zu Beginn ergibt, ist weiterer Maßstab jedoch, in welchem Stadium </w:t>
      </w:r>
      <w:r w:rsidR="00EF6502">
        <w:rPr>
          <w:rFonts w:ascii="Arial" w:hAnsi="Arial" w:cs="Arial"/>
          <w:sz w:val="28"/>
          <w:szCs w:val="28"/>
        </w:rPr>
        <w:t xml:space="preserve">solche Maßnahmen </w:t>
      </w:r>
      <w:r w:rsidRPr="001B31A2">
        <w:rPr>
          <w:rFonts w:ascii="Arial" w:hAnsi="Arial" w:cs="Arial"/>
          <w:sz w:val="28"/>
          <w:szCs w:val="28"/>
        </w:rPr>
        <w:t xml:space="preserve">sinnvoll und ordnungspolitisch erlaubt sind. </w:t>
      </w:r>
    </w:p>
    <w:p w14:paraId="6476A997" w14:textId="77777777" w:rsidR="00412546" w:rsidRPr="001B31A2" w:rsidRDefault="00412546" w:rsidP="001B31A2">
      <w:pPr>
        <w:spacing w:line="360" w:lineRule="auto"/>
        <w:jc w:val="both"/>
        <w:rPr>
          <w:rFonts w:ascii="Arial" w:hAnsi="Arial" w:cs="Arial"/>
          <w:sz w:val="28"/>
          <w:szCs w:val="28"/>
        </w:rPr>
      </w:pPr>
    </w:p>
    <w:p w14:paraId="3754F487" w14:textId="062DC273" w:rsidR="00412546" w:rsidRPr="001B31A2" w:rsidRDefault="00412546" w:rsidP="001B31A2">
      <w:pPr>
        <w:pStyle w:val="Listenabsatz"/>
        <w:numPr>
          <w:ilvl w:val="0"/>
          <w:numId w:val="8"/>
        </w:numPr>
        <w:spacing w:line="360" w:lineRule="auto"/>
        <w:jc w:val="both"/>
        <w:rPr>
          <w:rFonts w:ascii="Arial" w:hAnsi="Arial" w:cs="Arial"/>
          <w:sz w:val="28"/>
          <w:szCs w:val="28"/>
        </w:rPr>
      </w:pPr>
      <w:r w:rsidRPr="001B31A2">
        <w:rPr>
          <w:rFonts w:ascii="Arial" w:hAnsi="Arial" w:cs="Arial"/>
          <w:sz w:val="28"/>
          <w:szCs w:val="28"/>
        </w:rPr>
        <w:t>Maßnahmen vor der Insolvenz</w:t>
      </w:r>
    </w:p>
    <w:p w14:paraId="51359D62" w14:textId="77777777" w:rsidR="00412546" w:rsidRPr="001B31A2" w:rsidRDefault="00412546" w:rsidP="001B31A2">
      <w:pPr>
        <w:pStyle w:val="Listenabsatz"/>
        <w:spacing w:line="360" w:lineRule="auto"/>
        <w:jc w:val="both"/>
        <w:rPr>
          <w:rFonts w:ascii="Arial" w:hAnsi="Arial" w:cs="Arial"/>
          <w:sz w:val="28"/>
          <w:szCs w:val="28"/>
        </w:rPr>
      </w:pPr>
    </w:p>
    <w:p w14:paraId="4D2C7B9D" w14:textId="1AC3CC05" w:rsidR="00412546" w:rsidRPr="001B31A2" w:rsidRDefault="00412546" w:rsidP="001B31A2">
      <w:pPr>
        <w:spacing w:line="360" w:lineRule="auto"/>
        <w:jc w:val="both"/>
        <w:rPr>
          <w:rFonts w:ascii="Arial" w:hAnsi="Arial" w:cs="Arial"/>
          <w:sz w:val="28"/>
          <w:szCs w:val="28"/>
        </w:rPr>
      </w:pPr>
      <w:r w:rsidRPr="001B31A2">
        <w:rPr>
          <w:rFonts w:ascii="Arial" w:hAnsi="Arial" w:cs="Arial"/>
          <w:sz w:val="28"/>
          <w:szCs w:val="28"/>
        </w:rPr>
        <w:t xml:space="preserve">Vor der Insolvenz haben alle Maßnahmen der Sanierung durch die Banken, Gesellschafter und Gläubiger des Unternehmens absoluten Vorrang, zumal es in einer marktwirtschaftlichen Ordnung keine Insolvenzen erster und zweiter Klasse geben darf (nach dem Motto „zum Großbetrieb kommt der Minister, zum Kleinbetrieb der Gerichtsvollzieher“). Hier kommt der Politik eine moderierende und begleitende Rolle zu, die insbesondere bei Unternehmen in strukturschwachen Gebieten besonders intensiv sein können. </w:t>
      </w:r>
    </w:p>
    <w:p w14:paraId="50097352" w14:textId="09C80B2C" w:rsidR="005951D9" w:rsidRPr="001B31A2" w:rsidRDefault="005951D9" w:rsidP="001B31A2">
      <w:pPr>
        <w:spacing w:line="360" w:lineRule="auto"/>
        <w:jc w:val="both"/>
        <w:rPr>
          <w:rFonts w:ascii="Arial" w:hAnsi="Arial" w:cs="Arial"/>
          <w:sz w:val="28"/>
          <w:szCs w:val="28"/>
        </w:rPr>
      </w:pPr>
    </w:p>
    <w:p w14:paraId="2D0529FA" w14:textId="7EAF4AB4" w:rsidR="00EF6502" w:rsidRDefault="00412546" w:rsidP="00F40F0D">
      <w:pPr>
        <w:pStyle w:val="Listenabsatz"/>
        <w:numPr>
          <w:ilvl w:val="0"/>
          <w:numId w:val="8"/>
        </w:numPr>
        <w:spacing w:line="360" w:lineRule="auto"/>
        <w:jc w:val="both"/>
        <w:rPr>
          <w:rFonts w:ascii="Arial" w:hAnsi="Arial" w:cs="Arial"/>
          <w:sz w:val="28"/>
          <w:szCs w:val="28"/>
        </w:rPr>
      </w:pPr>
      <w:r w:rsidRPr="001B31A2">
        <w:rPr>
          <w:rFonts w:ascii="Arial" w:hAnsi="Arial" w:cs="Arial"/>
          <w:sz w:val="28"/>
          <w:szCs w:val="28"/>
        </w:rPr>
        <w:t>Maßnahmen nach der Insolvenz</w:t>
      </w:r>
    </w:p>
    <w:p w14:paraId="25D1EAA8" w14:textId="77777777" w:rsidR="00F40F0D" w:rsidRPr="00F40F0D" w:rsidRDefault="00F40F0D" w:rsidP="00F40F0D">
      <w:pPr>
        <w:spacing w:line="360" w:lineRule="auto"/>
        <w:ind w:left="360"/>
        <w:jc w:val="both"/>
        <w:rPr>
          <w:rFonts w:ascii="Arial" w:hAnsi="Arial" w:cs="Arial"/>
          <w:sz w:val="28"/>
          <w:szCs w:val="28"/>
        </w:rPr>
      </w:pPr>
    </w:p>
    <w:p w14:paraId="559878B7" w14:textId="463EF234" w:rsidR="00EE4ACA" w:rsidRDefault="00EF6502" w:rsidP="00EF6502">
      <w:pPr>
        <w:spacing w:line="360" w:lineRule="auto"/>
        <w:jc w:val="both"/>
        <w:rPr>
          <w:rFonts w:ascii="Arial" w:hAnsi="Arial" w:cs="Arial"/>
          <w:sz w:val="28"/>
          <w:szCs w:val="28"/>
        </w:rPr>
      </w:pPr>
      <w:r>
        <w:rPr>
          <w:rFonts w:ascii="Arial" w:hAnsi="Arial" w:cs="Arial"/>
          <w:sz w:val="28"/>
          <w:szCs w:val="28"/>
        </w:rPr>
        <w:lastRenderedPageBreak/>
        <w:t>Auch nach der Insolvenz muss die Politik den rechtlichen Handlungsrahmen beachten. Liegt ein Angebot eines Investors vor, steht jedoch auch mit Investitionsförderprogrammen ein breiter Instrumentenkasten bereit, welcher auch auf der Grundlage der Fortführungsprognose ordnungspolitisch vertretbar ist.</w:t>
      </w:r>
    </w:p>
    <w:p w14:paraId="414B1476" w14:textId="1635CE6C" w:rsidR="00EF6502" w:rsidRPr="00EF6502" w:rsidRDefault="00EF6502" w:rsidP="00EF6502">
      <w:pPr>
        <w:spacing w:line="360" w:lineRule="auto"/>
        <w:jc w:val="both"/>
        <w:rPr>
          <w:rFonts w:ascii="Arial" w:hAnsi="Arial" w:cs="Arial"/>
          <w:sz w:val="28"/>
          <w:szCs w:val="28"/>
        </w:rPr>
      </w:pPr>
    </w:p>
    <w:p w14:paraId="0EFAE7A9" w14:textId="64741D64" w:rsidR="00412546" w:rsidRPr="001B31A2" w:rsidRDefault="00EE4ACA" w:rsidP="001B31A2">
      <w:pPr>
        <w:pStyle w:val="Listenabsatz"/>
        <w:numPr>
          <w:ilvl w:val="0"/>
          <w:numId w:val="8"/>
        </w:numPr>
        <w:spacing w:line="360" w:lineRule="auto"/>
        <w:jc w:val="both"/>
        <w:rPr>
          <w:rFonts w:ascii="Arial" w:hAnsi="Arial" w:cs="Arial"/>
          <w:sz w:val="28"/>
          <w:szCs w:val="28"/>
        </w:rPr>
      </w:pPr>
      <w:r w:rsidRPr="001B31A2">
        <w:rPr>
          <w:rFonts w:ascii="Arial" w:hAnsi="Arial" w:cs="Arial"/>
          <w:sz w:val="28"/>
          <w:szCs w:val="28"/>
        </w:rPr>
        <w:t>Sonstige Maßnahmen und Handlungsmöglichkeiten</w:t>
      </w:r>
    </w:p>
    <w:p w14:paraId="449A115A" w14:textId="241DC967" w:rsidR="00EE4ACA" w:rsidRDefault="00EE4ACA" w:rsidP="001B31A2">
      <w:pPr>
        <w:spacing w:line="360" w:lineRule="auto"/>
        <w:jc w:val="both"/>
        <w:rPr>
          <w:rFonts w:ascii="Arial" w:hAnsi="Arial" w:cs="Arial"/>
          <w:sz w:val="28"/>
          <w:szCs w:val="28"/>
        </w:rPr>
      </w:pPr>
    </w:p>
    <w:p w14:paraId="25C4342F" w14:textId="1D397138" w:rsidR="00EF6502" w:rsidRDefault="00EF6502" w:rsidP="001B31A2">
      <w:pPr>
        <w:spacing w:line="360" w:lineRule="auto"/>
        <w:jc w:val="both"/>
        <w:rPr>
          <w:rFonts w:ascii="Arial" w:hAnsi="Arial" w:cs="Arial"/>
          <w:sz w:val="28"/>
          <w:szCs w:val="28"/>
        </w:rPr>
      </w:pPr>
      <w:r>
        <w:rPr>
          <w:rFonts w:ascii="Arial" w:hAnsi="Arial" w:cs="Arial"/>
          <w:sz w:val="28"/>
          <w:szCs w:val="28"/>
        </w:rPr>
        <w:t>Es sollte nicht übersehen werden, dass die moderierende und initiierende Rolle der Politik in der Krise von Unternehmen gegenüber finanziellen Unterstützungsmaßnahmen nicht unterschätzt werden darf. In den Jahren 2008 – 2010 konnte ich durch solche Gespräche mehr zur Rettung von Arbeitsplätzen beitragen als durch die Gewährung von Beihilfen.</w:t>
      </w:r>
    </w:p>
    <w:p w14:paraId="3FB93035" w14:textId="77777777" w:rsidR="00EF6502" w:rsidRPr="001B31A2" w:rsidRDefault="00EF6502" w:rsidP="001B31A2">
      <w:pPr>
        <w:spacing w:line="360" w:lineRule="auto"/>
        <w:jc w:val="both"/>
        <w:rPr>
          <w:rFonts w:ascii="Arial" w:hAnsi="Arial" w:cs="Arial"/>
          <w:sz w:val="28"/>
          <w:szCs w:val="28"/>
        </w:rPr>
      </w:pPr>
    </w:p>
    <w:p w14:paraId="5A70FFF0" w14:textId="0E798DE9" w:rsidR="00CF3476" w:rsidRPr="00F40F0D" w:rsidRDefault="00EE4ACA" w:rsidP="00F40F0D">
      <w:pPr>
        <w:spacing w:line="360" w:lineRule="auto"/>
        <w:jc w:val="center"/>
        <w:rPr>
          <w:rFonts w:ascii="Arial" w:hAnsi="Arial" w:cs="Arial"/>
          <w:b/>
          <w:sz w:val="28"/>
          <w:szCs w:val="28"/>
        </w:rPr>
      </w:pPr>
      <w:r w:rsidRPr="00EF6502">
        <w:rPr>
          <w:rFonts w:ascii="Arial" w:hAnsi="Arial" w:cs="Arial"/>
          <w:b/>
          <w:sz w:val="28"/>
          <w:szCs w:val="28"/>
        </w:rPr>
        <w:t>III. Beachtung des Gleichheitsgrundsatzes und klarer ordnungspolitischer Prinzipien (Ausblick)</w:t>
      </w:r>
    </w:p>
    <w:p w14:paraId="0FEE9417" w14:textId="77777777" w:rsidR="00F40F0D" w:rsidRDefault="00F40F0D" w:rsidP="001B31A2">
      <w:pPr>
        <w:spacing w:line="360" w:lineRule="auto"/>
        <w:rPr>
          <w:rFonts w:ascii="Arial" w:hAnsi="Arial" w:cs="Arial"/>
          <w:sz w:val="28"/>
          <w:szCs w:val="28"/>
        </w:rPr>
      </w:pPr>
    </w:p>
    <w:p w14:paraId="662E0F78" w14:textId="0AE25D81" w:rsidR="00F40F0D" w:rsidRDefault="00EF6502" w:rsidP="001B31A2">
      <w:pPr>
        <w:spacing w:line="360" w:lineRule="auto"/>
        <w:rPr>
          <w:rFonts w:ascii="Arial" w:hAnsi="Arial" w:cs="Arial"/>
          <w:sz w:val="28"/>
          <w:szCs w:val="28"/>
        </w:rPr>
      </w:pPr>
      <w:r>
        <w:rPr>
          <w:rFonts w:ascii="Arial" w:hAnsi="Arial" w:cs="Arial"/>
          <w:sz w:val="28"/>
          <w:szCs w:val="28"/>
        </w:rPr>
        <w:t xml:space="preserve">Abschließend </w:t>
      </w:r>
      <w:r w:rsidR="00D31941">
        <w:rPr>
          <w:rFonts w:ascii="Arial" w:hAnsi="Arial" w:cs="Arial"/>
          <w:sz w:val="28"/>
          <w:szCs w:val="28"/>
        </w:rPr>
        <w:t>möchte ich noch</w:t>
      </w:r>
      <w:r>
        <w:rPr>
          <w:rFonts w:ascii="Arial" w:hAnsi="Arial" w:cs="Arial"/>
          <w:sz w:val="28"/>
          <w:szCs w:val="28"/>
        </w:rPr>
        <w:t xml:space="preserve"> </w:t>
      </w:r>
      <w:r w:rsidR="00D31941">
        <w:rPr>
          <w:rFonts w:ascii="Arial" w:hAnsi="Arial" w:cs="Arial"/>
          <w:sz w:val="28"/>
          <w:szCs w:val="28"/>
        </w:rPr>
        <w:t>5 Punkte fest</w:t>
      </w:r>
      <w:r>
        <w:rPr>
          <w:rFonts w:ascii="Arial" w:hAnsi="Arial" w:cs="Arial"/>
          <w:sz w:val="28"/>
          <w:szCs w:val="28"/>
        </w:rPr>
        <w:t>halten:</w:t>
      </w:r>
    </w:p>
    <w:p w14:paraId="7C498777" w14:textId="77777777" w:rsidR="005951D9" w:rsidRDefault="005951D9" w:rsidP="001B31A2">
      <w:pPr>
        <w:spacing w:line="360" w:lineRule="auto"/>
        <w:rPr>
          <w:rFonts w:ascii="Arial" w:hAnsi="Arial" w:cs="Arial"/>
          <w:sz w:val="28"/>
          <w:szCs w:val="28"/>
        </w:rPr>
      </w:pPr>
    </w:p>
    <w:p w14:paraId="45BC42B7" w14:textId="0A00029F" w:rsidR="00EF6502" w:rsidRPr="00D31941" w:rsidRDefault="00EF6502" w:rsidP="00D31941">
      <w:pPr>
        <w:pStyle w:val="Listenabsatz"/>
        <w:numPr>
          <w:ilvl w:val="0"/>
          <w:numId w:val="13"/>
        </w:numPr>
        <w:spacing w:line="360" w:lineRule="auto"/>
        <w:jc w:val="both"/>
        <w:rPr>
          <w:rFonts w:ascii="Arial" w:hAnsi="Arial" w:cs="Arial"/>
          <w:sz w:val="28"/>
          <w:szCs w:val="28"/>
        </w:rPr>
      </w:pPr>
      <w:r>
        <w:rPr>
          <w:rFonts w:ascii="Arial" w:hAnsi="Arial" w:cs="Arial"/>
          <w:sz w:val="28"/>
          <w:szCs w:val="28"/>
        </w:rPr>
        <w:t xml:space="preserve">Der Staat muss sich soweit wie möglich aus dem Marktgeschehen heraushalten, auch und gerade in der Krise von Unternehmen. Es ist nun mal </w:t>
      </w:r>
      <w:r w:rsidR="00D31941">
        <w:rPr>
          <w:rFonts w:ascii="Arial" w:hAnsi="Arial" w:cs="Arial"/>
          <w:sz w:val="28"/>
          <w:szCs w:val="28"/>
        </w:rPr>
        <w:t xml:space="preserve">gerade </w:t>
      </w:r>
      <w:r w:rsidRPr="00D31941">
        <w:rPr>
          <w:rFonts w:ascii="Arial" w:hAnsi="Arial" w:cs="Arial"/>
          <w:sz w:val="28"/>
          <w:szCs w:val="28"/>
        </w:rPr>
        <w:t>ein Markenzeichen einer Marktwirtschaft, dass Unternehmen kommen und gehen</w:t>
      </w:r>
      <w:r w:rsidR="00D31941">
        <w:rPr>
          <w:rFonts w:ascii="Arial" w:hAnsi="Arial" w:cs="Arial"/>
          <w:sz w:val="28"/>
          <w:szCs w:val="28"/>
        </w:rPr>
        <w:t xml:space="preserve"> und der Markt und nicht der Staat über ihre Zukunftsfähigkeit entscheiden</w:t>
      </w:r>
      <w:r w:rsidRPr="00D31941">
        <w:rPr>
          <w:rFonts w:ascii="Arial" w:hAnsi="Arial" w:cs="Arial"/>
          <w:sz w:val="28"/>
          <w:szCs w:val="28"/>
        </w:rPr>
        <w:t>.</w:t>
      </w:r>
    </w:p>
    <w:p w14:paraId="179AF6AD" w14:textId="77777777" w:rsidR="005951D9" w:rsidRPr="00F40F0D" w:rsidRDefault="005951D9" w:rsidP="005951D9">
      <w:pPr>
        <w:pStyle w:val="Listenabsatz"/>
        <w:spacing w:line="360" w:lineRule="auto"/>
        <w:jc w:val="both"/>
        <w:rPr>
          <w:rFonts w:ascii="Arial" w:hAnsi="Arial" w:cs="Arial"/>
          <w:sz w:val="28"/>
          <w:szCs w:val="28"/>
        </w:rPr>
      </w:pPr>
    </w:p>
    <w:p w14:paraId="1B20BCC1" w14:textId="6115ABE3" w:rsidR="009903ED" w:rsidRDefault="00EF6502" w:rsidP="009903ED">
      <w:pPr>
        <w:pStyle w:val="Listenabsatz"/>
        <w:numPr>
          <w:ilvl w:val="0"/>
          <w:numId w:val="13"/>
        </w:numPr>
        <w:spacing w:line="360" w:lineRule="auto"/>
        <w:jc w:val="both"/>
        <w:rPr>
          <w:rFonts w:ascii="Arial" w:hAnsi="Arial" w:cs="Arial"/>
          <w:sz w:val="28"/>
          <w:szCs w:val="28"/>
        </w:rPr>
      </w:pPr>
      <w:r>
        <w:rPr>
          <w:rFonts w:ascii="Arial" w:hAnsi="Arial" w:cs="Arial"/>
          <w:sz w:val="28"/>
          <w:szCs w:val="28"/>
        </w:rPr>
        <w:t xml:space="preserve">Es muss </w:t>
      </w:r>
      <w:r w:rsidR="00D31941">
        <w:rPr>
          <w:rFonts w:ascii="Arial" w:hAnsi="Arial" w:cs="Arial"/>
          <w:sz w:val="28"/>
          <w:szCs w:val="28"/>
        </w:rPr>
        <w:t xml:space="preserve">bei allen staatlichen Maßnahmen </w:t>
      </w:r>
      <w:r>
        <w:rPr>
          <w:rFonts w:ascii="Arial" w:hAnsi="Arial" w:cs="Arial"/>
          <w:sz w:val="28"/>
          <w:szCs w:val="28"/>
        </w:rPr>
        <w:t>ein strikter Gleichbehandlungsgru</w:t>
      </w:r>
      <w:r w:rsidR="001948A2">
        <w:rPr>
          <w:rFonts w:ascii="Arial" w:hAnsi="Arial" w:cs="Arial"/>
          <w:sz w:val="28"/>
          <w:szCs w:val="28"/>
        </w:rPr>
        <w:t>ndsatz beachtet werden</w:t>
      </w:r>
      <w:r>
        <w:rPr>
          <w:rFonts w:ascii="Arial" w:hAnsi="Arial" w:cs="Arial"/>
          <w:sz w:val="28"/>
          <w:szCs w:val="28"/>
        </w:rPr>
        <w:t xml:space="preserve">, es darf deshalb keine Insolvenzen erster und zweiter Klasse </w:t>
      </w:r>
      <w:r w:rsidR="00D31941">
        <w:rPr>
          <w:rFonts w:ascii="Arial" w:hAnsi="Arial" w:cs="Arial"/>
          <w:sz w:val="28"/>
          <w:szCs w:val="28"/>
        </w:rPr>
        <w:t xml:space="preserve">in einer Marktwirtschaft </w:t>
      </w:r>
      <w:r>
        <w:rPr>
          <w:rFonts w:ascii="Arial" w:hAnsi="Arial" w:cs="Arial"/>
          <w:sz w:val="28"/>
          <w:szCs w:val="28"/>
        </w:rPr>
        <w:lastRenderedPageBreak/>
        <w:t>geben.</w:t>
      </w:r>
      <w:r w:rsidR="00A30857">
        <w:rPr>
          <w:rFonts w:ascii="Arial" w:hAnsi="Arial" w:cs="Arial"/>
          <w:sz w:val="28"/>
          <w:szCs w:val="28"/>
        </w:rPr>
        <w:t xml:space="preserve"> Ob ein Unternehmen 1000 oder 10 Mitarbeiter hat, darf hier keinen Unterschied machen.</w:t>
      </w:r>
    </w:p>
    <w:p w14:paraId="17701A61" w14:textId="447BF785" w:rsidR="008A2F5B" w:rsidRPr="008A2F5B" w:rsidRDefault="008A2F5B" w:rsidP="008A2F5B">
      <w:pPr>
        <w:spacing w:line="360" w:lineRule="auto"/>
        <w:jc w:val="both"/>
        <w:rPr>
          <w:rFonts w:ascii="Arial" w:hAnsi="Arial" w:cs="Arial"/>
          <w:sz w:val="28"/>
          <w:szCs w:val="28"/>
        </w:rPr>
      </w:pPr>
    </w:p>
    <w:p w14:paraId="7CA08679" w14:textId="00F41574" w:rsidR="005951D9" w:rsidRDefault="00D31941" w:rsidP="00D31941">
      <w:pPr>
        <w:pStyle w:val="Listenabsatz"/>
        <w:numPr>
          <w:ilvl w:val="0"/>
          <w:numId w:val="13"/>
        </w:numPr>
        <w:spacing w:line="360" w:lineRule="auto"/>
        <w:jc w:val="both"/>
        <w:rPr>
          <w:rFonts w:ascii="Arial" w:hAnsi="Arial" w:cs="Arial"/>
          <w:sz w:val="28"/>
          <w:szCs w:val="28"/>
        </w:rPr>
      </w:pPr>
      <w:r>
        <w:rPr>
          <w:rFonts w:ascii="Arial" w:hAnsi="Arial" w:cs="Arial"/>
          <w:sz w:val="28"/>
          <w:szCs w:val="28"/>
        </w:rPr>
        <w:t xml:space="preserve">Eine Insolvenz muss – das zeigen ja viele Beispiele – keineswegs das Ende eines Unternehmens bedeuten, sie kann auch eine Chance sein, sich von unnötigem Ballast zu befreien </w:t>
      </w:r>
      <w:r w:rsidR="00F44DB5">
        <w:rPr>
          <w:rFonts w:ascii="Arial" w:hAnsi="Arial" w:cs="Arial"/>
          <w:sz w:val="28"/>
          <w:szCs w:val="28"/>
        </w:rPr>
        <w:t>und mit den überlebensfähigen Teilen des Unternehmens in die Zukunft zu starten.</w:t>
      </w:r>
    </w:p>
    <w:p w14:paraId="7260A703" w14:textId="77777777" w:rsidR="00F44DB5" w:rsidRPr="00F44DB5" w:rsidRDefault="00F44DB5" w:rsidP="00F44DB5">
      <w:pPr>
        <w:spacing w:line="360" w:lineRule="auto"/>
        <w:jc w:val="both"/>
        <w:rPr>
          <w:rFonts w:ascii="Arial" w:hAnsi="Arial" w:cs="Arial"/>
          <w:sz w:val="28"/>
          <w:szCs w:val="28"/>
        </w:rPr>
      </w:pPr>
    </w:p>
    <w:p w14:paraId="23122C64" w14:textId="2EB57996" w:rsidR="005951D9" w:rsidRDefault="00F44DB5" w:rsidP="005951D9">
      <w:pPr>
        <w:pStyle w:val="Listenabsatz"/>
        <w:spacing w:line="360" w:lineRule="auto"/>
        <w:jc w:val="both"/>
        <w:rPr>
          <w:rFonts w:ascii="Arial" w:hAnsi="Arial" w:cs="Arial"/>
          <w:sz w:val="28"/>
          <w:szCs w:val="28"/>
        </w:rPr>
      </w:pPr>
      <w:r w:rsidRPr="005951D9">
        <w:rPr>
          <w:rFonts w:ascii="Arial" w:hAnsi="Arial" w:cs="Arial"/>
          <w:sz w:val="28"/>
          <w:szCs w:val="28"/>
        </w:rPr>
        <w:t xml:space="preserve">Selbst wenn </w:t>
      </w:r>
      <w:r>
        <w:rPr>
          <w:rFonts w:ascii="Arial" w:hAnsi="Arial" w:cs="Arial"/>
          <w:sz w:val="28"/>
          <w:szCs w:val="28"/>
        </w:rPr>
        <w:t xml:space="preserve">also </w:t>
      </w:r>
      <w:r w:rsidRPr="005951D9">
        <w:rPr>
          <w:rFonts w:ascii="Arial" w:hAnsi="Arial" w:cs="Arial"/>
          <w:sz w:val="28"/>
          <w:szCs w:val="28"/>
        </w:rPr>
        <w:t>Beihilfen erlaubt sind, müssen sie noch lange nicht sinnvoll und ordnungspolitisch angemessen sein.</w:t>
      </w:r>
    </w:p>
    <w:p w14:paraId="03063F72" w14:textId="77777777" w:rsidR="00F44DB5" w:rsidRDefault="00F44DB5" w:rsidP="005951D9">
      <w:pPr>
        <w:pStyle w:val="Listenabsatz"/>
        <w:spacing w:line="360" w:lineRule="auto"/>
        <w:jc w:val="both"/>
        <w:rPr>
          <w:rFonts w:ascii="Arial" w:hAnsi="Arial" w:cs="Arial"/>
          <w:sz w:val="28"/>
          <w:szCs w:val="28"/>
        </w:rPr>
      </w:pPr>
    </w:p>
    <w:p w14:paraId="44143EB1" w14:textId="5BA5F1A2" w:rsidR="001948A2" w:rsidRDefault="001948A2" w:rsidP="005951D9">
      <w:pPr>
        <w:pStyle w:val="Listenabsatz"/>
        <w:numPr>
          <w:ilvl w:val="0"/>
          <w:numId w:val="13"/>
        </w:numPr>
        <w:spacing w:line="360" w:lineRule="auto"/>
        <w:jc w:val="both"/>
        <w:rPr>
          <w:rFonts w:ascii="Arial" w:hAnsi="Arial" w:cs="Arial"/>
          <w:sz w:val="28"/>
          <w:szCs w:val="28"/>
        </w:rPr>
      </w:pPr>
      <w:r w:rsidRPr="005951D9">
        <w:rPr>
          <w:rFonts w:ascii="Arial" w:hAnsi="Arial" w:cs="Arial"/>
          <w:sz w:val="28"/>
          <w:szCs w:val="28"/>
        </w:rPr>
        <w:t>Die Förderung von Innovationen ist wichtiger und meist auch erfolgsversprechender als die staatliche Unterst</w:t>
      </w:r>
      <w:r w:rsidR="00AD561B">
        <w:rPr>
          <w:rFonts w:ascii="Arial" w:hAnsi="Arial" w:cs="Arial"/>
          <w:sz w:val="28"/>
          <w:szCs w:val="28"/>
        </w:rPr>
        <w:t>ützung bestehender S</w:t>
      </w:r>
      <w:r w:rsidRPr="005951D9">
        <w:rPr>
          <w:rFonts w:ascii="Arial" w:hAnsi="Arial" w:cs="Arial"/>
          <w:sz w:val="28"/>
          <w:szCs w:val="28"/>
        </w:rPr>
        <w:t>trukturen</w:t>
      </w:r>
      <w:r w:rsidR="00AD561B">
        <w:rPr>
          <w:rFonts w:ascii="Arial" w:hAnsi="Arial" w:cs="Arial"/>
          <w:sz w:val="28"/>
          <w:szCs w:val="28"/>
        </w:rPr>
        <w:t xml:space="preserve"> in der Krise eines Unternehmens</w:t>
      </w:r>
      <w:r w:rsidRPr="005951D9">
        <w:rPr>
          <w:rFonts w:ascii="Arial" w:hAnsi="Arial" w:cs="Arial"/>
          <w:sz w:val="28"/>
          <w:szCs w:val="28"/>
        </w:rPr>
        <w:t>.</w:t>
      </w:r>
    </w:p>
    <w:p w14:paraId="11F5E402" w14:textId="367EDE55" w:rsidR="005951D9" w:rsidRPr="005951D9" w:rsidRDefault="005951D9" w:rsidP="005951D9">
      <w:pPr>
        <w:spacing w:line="360" w:lineRule="auto"/>
        <w:jc w:val="both"/>
        <w:rPr>
          <w:rFonts w:ascii="Arial" w:hAnsi="Arial" w:cs="Arial"/>
          <w:sz w:val="28"/>
          <w:szCs w:val="28"/>
        </w:rPr>
      </w:pPr>
    </w:p>
    <w:p w14:paraId="39135CEA" w14:textId="3FAF16D9" w:rsidR="001948A2" w:rsidRPr="00EF6502" w:rsidRDefault="001948A2" w:rsidP="001948A2">
      <w:pPr>
        <w:pStyle w:val="Listenabsatz"/>
        <w:numPr>
          <w:ilvl w:val="0"/>
          <w:numId w:val="13"/>
        </w:numPr>
        <w:spacing w:line="360" w:lineRule="auto"/>
        <w:jc w:val="both"/>
        <w:rPr>
          <w:rFonts w:ascii="Arial" w:hAnsi="Arial" w:cs="Arial"/>
          <w:sz w:val="28"/>
          <w:szCs w:val="28"/>
        </w:rPr>
      </w:pPr>
      <w:r>
        <w:rPr>
          <w:rFonts w:ascii="Arial" w:hAnsi="Arial" w:cs="Arial"/>
          <w:sz w:val="28"/>
          <w:szCs w:val="28"/>
        </w:rPr>
        <w:t xml:space="preserve">Der Staat ist nicht der bessere Unternehmer und darf die Markt- und Wettbewerbsregeln nicht außer Kraft setzen. </w:t>
      </w:r>
    </w:p>
    <w:sectPr w:rsidR="001948A2" w:rsidRPr="00EF6502" w:rsidSect="001B31A2">
      <w:headerReference w:type="default" r:id="rId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909E" w14:textId="77777777" w:rsidR="005F556F" w:rsidRDefault="005F556F" w:rsidP="00CF3476">
      <w:r>
        <w:separator/>
      </w:r>
    </w:p>
  </w:endnote>
  <w:endnote w:type="continuationSeparator" w:id="0">
    <w:p w14:paraId="519C26BF" w14:textId="77777777" w:rsidR="005F556F" w:rsidRDefault="005F556F" w:rsidP="00CF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C883" w14:textId="77777777" w:rsidR="005F556F" w:rsidRDefault="005F556F" w:rsidP="00CF3476">
      <w:r>
        <w:separator/>
      </w:r>
    </w:p>
  </w:footnote>
  <w:footnote w:type="continuationSeparator" w:id="0">
    <w:p w14:paraId="4BD6B7F5" w14:textId="77777777" w:rsidR="005F556F" w:rsidRDefault="005F556F" w:rsidP="00CF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69142"/>
      <w:docPartObj>
        <w:docPartGallery w:val="Page Numbers (Top of Page)"/>
        <w:docPartUnique/>
      </w:docPartObj>
    </w:sdtPr>
    <w:sdtEndPr/>
    <w:sdtContent>
      <w:p w14:paraId="0A551834" w14:textId="317C6787" w:rsidR="00D31941" w:rsidRDefault="00D31941">
        <w:pPr>
          <w:pStyle w:val="Kopfzeile"/>
          <w:jc w:val="right"/>
        </w:pPr>
        <w:r>
          <w:fldChar w:fldCharType="begin"/>
        </w:r>
        <w:r>
          <w:instrText>PAGE   \* MERGEFORMAT</w:instrText>
        </w:r>
        <w:r>
          <w:fldChar w:fldCharType="separate"/>
        </w:r>
        <w:r w:rsidR="008A2F5B">
          <w:rPr>
            <w:noProof/>
          </w:rPr>
          <w:t>12</w:t>
        </w:r>
        <w:r>
          <w:fldChar w:fldCharType="end"/>
        </w:r>
      </w:p>
    </w:sdtContent>
  </w:sdt>
  <w:p w14:paraId="6E59A2D4" w14:textId="77777777" w:rsidR="00D31941" w:rsidRDefault="00D319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874"/>
    <w:multiLevelType w:val="multilevel"/>
    <w:tmpl w:val="64EC4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C41CF"/>
    <w:multiLevelType w:val="multilevel"/>
    <w:tmpl w:val="EF0AE892"/>
    <w:lvl w:ilvl="0">
      <w:start w:val="1"/>
      <w:numFmt w:val="lowerLetter"/>
      <w:lvlText w:val="%1.)"/>
      <w:lvlJc w:val="left"/>
      <w:pPr>
        <w:ind w:left="720" w:hanging="360"/>
      </w:pPr>
      <w:rPr>
        <w:rFonts w:asciiTheme="minorHAnsi" w:eastAsiaTheme="minorEastAsia" w:hAnsiTheme="minorHAnsi" w:cstheme="minorBid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5A08B2"/>
    <w:multiLevelType w:val="hybridMultilevel"/>
    <w:tmpl w:val="D2ACAF8E"/>
    <w:lvl w:ilvl="0" w:tplc="A2D432E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C12E46"/>
    <w:multiLevelType w:val="hybridMultilevel"/>
    <w:tmpl w:val="B1B888A6"/>
    <w:lvl w:ilvl="0" w:tplc="97B454D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0E10B5B"/>
    <w:multiLevelType w:val="hybridMultilevel"/>
    <w:tmpl w:val="E2EE6E68"/>
    <w:lvl w:ilvl="0" w:tplc="0E7636CE">
      <w:start w:val="5"/>
      <w:numFmt w:val="bullet"/>
      <w:lvlText w:val="-"/>
      <w:lvlJc w:val="left"/>
      <w:pPr>
        <w:ind w:left="795" w:hanging="360"/>
      </w:pPr>
      <w:rPr>
        <w:rFonts w:ascii="Arial" w:eastAsiaTheme="minorEastAsia" w:hAnsi="Arial" w:cs="Aria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5" w15:restartNumberingAfterBreak="0">
    <w:nsid w:val="2489473D"/>
    <w:multiLevelType w:val="hybridMultilevel"/>
    <w:tmpl w:val="3DD81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C61B0A"/>
    <w:multiLevelType w:val="hybridMultilevel"/>
    <w:tmpl w:val="F7342B4C"/>
    <w:lvl w:ilvl="0" w:tplc="5B5E9AC8">
      <w:start w:val="1"/>
      <w:numFmt w:val="decimal"/>
      <w:lvlText w:val="%1."/>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72C7A"/>
    <w:multiLevelType w:val="hybridMultilevel"/>
    <w:tmpl w:val="64EC4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5F2BBD"/>
    <w:multiLevelType w:val="hybridMultilevel"/>
    <w:tmpl w:val="B31A7946"/>
    <w:lvl w:ilvl="0" w:tplc="D696DA2E">
      <w:start w:val="1"/>
      <w:numFmt w:val="lowerLetter"/>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775215"/>
    <w:multiLevelType w:val="hybridMultilevel"/>
    <w:tmpl w:val="5844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B62A69"/>
    <w:multiLevelType w:val="hybridMultilevel"/>
    <w:tmpl w:val="370AF17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1" w15:restartNumberingAfterBreak="0">
    <w:nsid w:val="68C1745D"/>
    <w:multiLevelType w:val="multilevel"/>
    <w:tmpl w:val="64EC4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9D7A65"/>
    <w:multiLevelType w:val="hybridMultilevel"/>
    <w:tmpl w:val="08BC4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3"/>
  </w:num>
  <w:num w:numId="6">
    <w:abstractNumId w:val="1"/>
  </w:num>
  <w:num w:numId="7">
    <w:abstractNumId w:val="2"/>
  </w:num>
  <w:num w:numId="8">
    <w:abstractNumId w:val="5"/>
  </w:num>
  <w:num w:numId="9">
    <w:abstractNumId w:val="9"/>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76"/>
    <w:rsid w:val="000928EF"/>
    <w:rsid w:val="00096344"/>
    <w:rsid w:val="000F1C97"/>
    <w:rsid w:val="00173E45"/>
    <w:rsid w:val="001948A2"/>
    <w:rsid w:val="001B31A2"/>
    <w:rsid w:val="001C40C0"/>
    <w:rsid w:val="0025787F"/>
    <w:rsid w:val="002C5DB8"/>
    <w:rsid w:val="0036159A"/>
    <w:rsid w:val="00412546"/>
    <w:rsid w:val="0052760D"/>
    <w:rsid w:val="005951D9"/>
    <w:rsid w:val="005F556F"/>
    <w:rsid w:val="00730661"/>
    <w:rsid w:val="00813AE2"/>
    <w:rsid w:val="00845E1B"/>
    <w:rsid w:val="008A2F5B"/>
    <w:rsid w:val="008C3559"/>
    <w:rsid w:val="008D216D"/>
    <w:rsid w:val="00983658"/>
    <w:rsid w:val="009903ED"/>
    <w:rsid w:val="009A5021"/>
    <w:rsid w:val="009D4148"/>
    <w:rsid w:val="00A30857"/>
    <w:rsid w:val="00AD561B"/>
    <w:rsid w:val="00AF5755"/>
    <w:rsid w:val="00B3717D"/>
    <w:rsid w:val="00B52DD2"/>
    <w:rsid w:val="00B62705"/>
    <w:rsid w:val="00BB5381"/>
    <w:rsid w:val="00C17DF6"/>
    <w:rsid w:val="00C64285"/>
    <w:rsid w:val="00CF3476"/>
    <w:rsid w:val="00D31941"/>
    <w:rsid w:val="00E95972"/>
    <w:rsid w:val="00EA00E4"/>
    <w:rsid w:val="00EE4ACA"/>
    <w:rsid w:val="00EF6502"/>
    <w:rsid w:val="00F40F0D"/>
    <w:rsid w:val="00F44DB5"/>
    <w:rsid w:val="00F523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EDE45"/>
  <w14:defaultImageDpi w14:val="300"/>
  <w15:docId w15:val="{1A862B76-581D-455D-A823-1EDD226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476"/>
    <w:pPr>
      <w:tabs>
        <w:tab w:val="center" w:pos="4536"/>
        <w:tab w:val="right" w:pos="9072"/>
      </w:tabs>
    </w:pPr>
  </w:style>
  <w:style w:type="character" w:customStyle="1" w:styleId="KopfzeileZchn">
    <w:name w:val="Kopfzeile Zchn"/>
    <w:basedOn w:val="Absatz-Standardschriftart"/>
    <w:link w:val="Kopfzeile"/>
    <w:uiPriority w:val="99"/>
    <w:rsid w:val="00CF3476"/>
  </w:style>
  <w:style w:type="paragraph" w:styleId="Fuzeile">
    <w:name w:val="footer"/>
    <w:basedOn w:val="Standard"/>
    <w:link w:val="FuzeileZchn"/>
    <w:uiPriority w:val="99"/>
    <w:unhideWhenUsed/>
    <w:rsid w:val="00CF3476"/>
    <w:pPr>
      <w:tabs>
        <w:tab w:val="center" w:pos="4536"/>
        <w:tab w:val="right" w:pos="9072"/>
      </w:tabs>
    </w:pPr>
  </w:style>
  <w:style w:type="character" w:customStyle="1" w:styleId="FuzeileZchn">
    <w:name w:val="Fußzeile Zchn"/>
    <w:basedOn w:val="Absatz-Standardschriftart"/>
    <w:link w:val="Fuzeile"/>
    <w:uiPriority w:val="99"/>
    <w:rsid w:val="00CF3476"/>
  </w:style>
  <w:style w:type="paragraph" w:styleId="Listenabsatz">
    <w:name w:val="List Paragraph"/>
    <w:basedOn w:val="Standard"/>
    <w:uiPriority w:val="34"/>
    <w:qFormat/>
    <w:rsid w:val="00CF3476"/>
    <w:pPr>
      <w:ind w:left="720"/>
      <w:contextualSpacing/>
    </w:pPr>
  </w:style>
  <w:style w:type="paragraph" w:customStyle="1" w:styleId="Default">
    <w:name w:val="Default"/>
    <w:rsid w:val="00096344"/>
    <w:pPr>
      <w:autoSpaceDE w:val="0"/>
      <w:autoSpaceDN w:val="0"/>
      <w:adjustRightInd w:val="0"/>
    </w:pPr>
    <w:rPr>
      <w:rFonts w:ascii="Univers" w:hAnsi="Univers" w:cs="Univers"/>
      <w:color w:val="000000"/>
    </w:rPr>
  </w:style>
  <w:style w:type="paragraph" w:customStyle="1" w:styleId="normal1">
    <w:name w:val="normal1"/>
    <w:basedOn w:val="Standard"/>
    <w:rsid w:val="0052760D"/>
    <w:pPr>
      <w:spacing w:before="120" w:line="312" w:lineRule="atLeast"/>
      <w:jc w:val="both"/>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B52D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DD2"/>
    <w:rPr>
      <w:rFonts w:ascii="Segoe UI" w:hAnsi="Segoe UI" w:cs="Segoe UI"/>
      <w:sz w:val="18"/>
      <w:szCs w:val="18"/>
    </w:rPr>
  </w:style>
  <w:style w:type="character" w:customStyle="1" w:styleId="e24kjd">
    <w:name w:val="e24kjd"/>
    <w:basedOn w:val="Absatz-Standardschriftart"/>
    <w:rsid w:val="009A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65490">
      <w:bodyDiv w:val="1"/>
      <w:marLeft w:val="0"/>
      <w:marRight w:val="0"/>
      <w:marTop w:val="0"/>
      <w:marBottom w:val="0"/>
      <w:divBdr>
        <w:top w:val="none" w:sz="0" w:space="0" w:color="auto"/>
        <w:left w:val="none" w:sz="0" w:space="0" w:color="auto"/>
        <w:bottom w:val="none" w:sz="0" w:space="0" w:color="auto"/>
        <w:right w:val="none" w:sz="0" w:space="0" w:color="auto"/>
      </w:divBdr>
      <w:divsChild>
        <w:div w:id="1269046843">
          <w:marLeft w:val="0"/>
          <w:marRight w:val="0"/>
          <w:marTop w:val="0"/>
          <w:marBottom w:val="0"/>
          <w:divBdr>
            <w:top w:val="none" w:sz="0" w:space="0" w:color="auto"/>
            <w:left w:val="none" w:sz="0" w:space="0" w:color="auto"/>
            <w:bottom w:val="none" w:sz="0" w:space="0" w:color="auto"/>
            <w:right w:val="none" w:sz="0" w:space="0" w:color="auto"/>
          </w:divBdr>
          <w:divsChild>
            <w:div w:id="2053266450">
              <w:marLeft w:val="0"/>
              <w:marRight w:val="0"/>
              <w:marTop w:val="0"/>
              <w:marBottom w:val="0"/>
              <w:divBdr>
                <w:top w:val="none" w:sz="0" w:space="0" w:color="auto"/>
                <w:left w:val="none" w:sz="0" w:space="0" w:color="auto"/>
                <w:bottom w:val="none" w:sz="0" w:space="0" w:color="auto"/>
                <w:right w:val="none" w:sz="0" w:space="0" w:color="auto"/>
              </w:divBdr>
              <w:divsChild>
                <w:div w:id="1145242901">
                  <w:marLeft w:val="0"/>
                  <w:marRight w:val="0"/>
                  <w:marTop w:val="0"/>
                  <w:marBottom w:val="0"/>
                  <w:divBdr>
                    <w:top w:val="none" w:sz="0" w:space="0" w:color="auto"/>
                    <w:left w:val="none" w:sz="0" w:space="0" w:color="auto"/>
                    <w:bottom w:val="none" w:sz="0" w:space="0" w:color="auto"/>
                    <w:right w:val="none" w:sz="0" w:space="0" w:color="auto"/>
                  </w:divBdr>
                  <w:divsChild>
                    <w:div w:id="476342518">
                      <w:marLeft w:val="-150"/>
                      <w:marRight w:val="-150"/>
                      <w:marTop w:val="0"/>
                      <w:marBottom w:val="0"/>
                      <w:divBdr>
                        <w:top w:val="none" w:sz="0" w:space="0" w:color="auto"/>
                        <w:left w:val="none" w:sz="0" w:space="0" w:color="auto"/>
                        <w:bottom w:val="none" w:sz="0" w:space="0" w:color="auto"/>
                        <w:right w:val="none" w:sz="0" w:space="0" w:color="auto"/>
                      </w:divBdr>
                      <w:divsChild>
                        <w:div w:id="349797212">
                          <w:marLeft w:val="0"/>
                          <w:marRight w:val="0"/>
                          <w:marTop w:val="0"/>
                          <w:marBottom w:val="0"/>
                          <w:divBdr>
                            <w:top w:val="none" w:sz="0" w:space="0" w:color="auto"/>
                            <w:left w:val="none" w:sz="0" w:space="0" w:color="auto"/>
                            <w:bottom w:val="none" w:sz="0" w:space="0" w:color="auto"/>
                            <w:right w:val="none" w:sz="0" w:space="0" w:color="auto"/>
                          </w:divBdr>
                          <w:divsChild>
                            <w:div w:id="265770374">
                              <w:marLeft w:val="0"/>
                              <w:marRight w:val="0"/>
                              <w:marTop w:val="0"/>
                              <w:marBottom w:val="0"/>
                              <w:divBdr>
                                <w:top w:val="none" w:sz="0" w:space="0" w:color="auto"/>
                                <w:left w:val="none" w:sz="0" w:space="0" w:color="auto"/>
                                <w:bottom w:val="none" w:sz="0" w:space="0" w:color="auto"/>
                                <w:right w:val="none" w:sz="0" w:space="0" w:color="auto"/>
                              </w:divBdr>
                              <w:divsChild>
                                <w:div w:id="1042444103">
                                  <w:marLeft w:val="0"/>
                                  <w:marRight w:val="0"/>
                                  <w:marTop w:val="0"/>
                                  <w:marBottom w:val="300"/>
                                  <w:divBdr>
                                    <w:top w:val="none" w:sz="0" w:space="0" w:color="auto"/>
                                    <w:left w:val="none" w:sz="0" w:space="0" w:color="auto"/>
                                    <w:bottom w:val="none" w:sz="0" w:space="0" w:color="auto"/>
                                    <w:right w:val="none" w:sz="0" w:space="0" w:color="auto"/>
                                  </w:divBdr>
                                  <w:divsChild>
                                    <w:div w:id="1840656799">
                                      <w:marLeft w:val="0"/>
                                      <w:marRight w:val="0"/>
                                      <w:marTop w:val="0"/>
                                      <w:marBottom w:val="0"/>
                                      <w:divBdr>
                                        <w:top w:val="none" w:sz="0" w:space="0" w:color="auto"/>
                                        <w:left w:val="none" w:sz="0" w:space="0" w:color="auto"/>
                                        <w:bottom w:val="none" w:sz="0" w:space="0" w:color="auto"/>
                                        <w:right w:val="none" w:sz="0" w:space="0" w:color="auto"/>
                                      </w:divBdr>
                                      <w:divsChild>
                                        <w:div w:id="1488983201">
                                          <w:marLeft w:val="0"/>
                                          <w:marRight w:val="0"/>
                                          <w:marTop w:val="0"/>
                                          <w:marBottom w:val="0"/>
                                          <w:divBdr>
                                            <w:top w:val="none" w:sz="0" w:space="0" w:color="auto"/>
                                            <w:left w:val="none" w:sz="0" w:space="0" w:color="auto"/>
                                            <w:bottom w:val="none" w:sz="0" w:space="0" w:color="auto"/>
                                            <w:right w:val="none" w:sz="0" w:space="0" w:color="auto"/>
                                          </w:divBdr>
                                          <w:divsChild>
                                            <w:div w:id="160170960">
                                              <w:marLeft w:val="0"/>
                                              <w:marRight w:val="0"/>
                                              <w:marTop w:val="0"/>
                                              <w:marBottom w:val="0"/>
                                              <w:divBdr>
                                                <w:top w:val="none" w:sz="0" w:space="0" w:color="auto"/>
                                                <w:left w:val="none" w:sz="0" w:space="0" w:color="auto"/>
                                                <w:bottom w:val="none" w:sz="0" w:space="0" w:color="auto"/>
                                                <w:right w:val="none" w:sz="0" w:space="0" w:color="auto"/>
                                              </w:divBdr>
                                              <w:divsChild>
                                                <w:div w:id="1883054823">
                                                  <w:marLeft w:val="0"/>
                                                  <w:marRight w:val="0"/>
                                                  <w:marTop w:val="0"/>
                                                  <w:marBottom w:val="0"/>
                                                  <w:divBdr>
                                                    <w:top w:val="none" w:sz="0" w:space="0" w:color="auto"/>
                                                    <w:left w:val="none" w:sz="0" w:space="0" w:color="auto"/>
                                                    <w:bottom w:val="none" w:sz="0" w:space="0" w:color="auto"/>
                                                    <w:right w:val="none" w:sz="0" w:space="0" w:color="auto"/>
                                                  </w:divBdr>
                                                  <w:divsChild>
                                                    <w:div w:id="1898979256">
                                                      <w:marLeft w:val="0"/>
                                                      <w:marRight w:val="0"/>
                                                      <w:marTop w:val="0"/>
                                                      <w:marBottom w:val="0"/>
                                                      <w:divBdr>
                                                        <w:top w:val="none" w:sz="0" w:space="0" w:color="auto"/>
                                                        <w:left w:val="none" w:sz="0" w:space="0" w:color="auto"/>
                                                        <w:bottom w:val="none" w:sz="0" w:space="0" w:color="auto"/>
                                                        <w:right w:val="none" w:sz="0" w:space="0" w:color="auto"/>
                                                      </w:divBdr>
                                                      <w:divsChild>
                                                        <w:div w:id="2042439989">
                                                          <w:marLeft w:val="0"/>
                                                          <w:marRight w:val="0"/>
                                                          <w:marTop w:val="0"/>
                                                          <w:marBottom w:val="0"/>
                                                          <w:divBdr>
                                                            <w:top w:val="none" w:sz="0" w:space="0" w:color="auto"/>
                                                            <w:left w:val="none" w:sz="0" w:space="0" w:color="auto"/>
                                                            <w:bottom w:val="none" w:sz="0" w:space="0" w:color="auto"/>
                                                            <w:right w:val="none" w:sz="0" w:space="0" w:color="auto"/>
                                                          </w:divBdr>
                                                          <w:divsChild>
                                                            <w:div w:id="1632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2151</Words>
  <Characters>13557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Zeil</dc:creator>
  <cp:keywords/>
  <dc:description/>
  <cp:lastModifiedBy>Prof Dr Hans Haarmeyer</cp:lastModifiedBy>
  <cp:revision>2</cp:revision>
  <cp:lastPrinted>2019-09-24T10:12:00Z</cp:lastPrinted>
  <dcterms:created xsi:type="dcterms:W3CDTF">2019-09-25T05:59:00Z</dcterms:created>
  <dcterms:modified xsi:type="dcterms:W3CDTF">2019-09-25T05:59:00Z</dcterms:modified>
</cp:coreProperties>
</file>